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3F51B5"/>
          <w:sz w:val="40"/>
        </w:rPr>
        <w:t>Roles &amp; Responsibilities</w:t>
      </w:r>
    </w:p>
    <w:p>
      <w:pPr>
        <w:spacing w:after="240"/>
      </w:pPr>
      <w:r>
        <w:rPr>
          <w:i/>
          <w:color w:val="606060"/>
          <w:sz w:val="17"/>
        </w:rPr>
        <w:t>Open Data &amp; AI Governance Kit  ·  Licensed CC BY 4.0  ·  https://lsdeva.github.io/governance-kit/</w:t>
      </w:r>
    </w:p>
    <w:p>
      <w:pPr>
        <w:spacing w:after="120"/>
      </w:pPr>
      <w:r>
        <w:rPr>
          <w:b/>
          <w:sz w:val="21"/>
        </w:rPr>
        <w:t xml:space="preserve">Purpose. </w:t>
      </w:r>
      <w:r>
        <w:rPr>
          <w:sz w:val="21"/>
        </w:rPr>
        <w:t>Defines each governance role in enough detail that it can be put in a job description, recruited for, and assessed against — rather than assumed.</w:t>
      </w:r>
    </w:p>
    <w:p>
      <w:pPr>
        <w:spacing w:after="120"/>
      </w:pPr>
      <w:r>
        <w:rPr>
          <w:b/>
          <w:sz w:val="21"/>
        </w:rPr>
        <w:t xml:space="preserve">When to use it. </w:t>
      </w:r>
      <w:r>
        <w:rPr>
          <w:sz w:val="21"/>
        </w:rPr>
        <w:t>Alongside the RACI, when appointing people into roles, and during onboarding.</w:t>
      </w:r>
    </w:p>
    <w:p>
      <w:pPr>
        <w:spacing w:after="120"/>
      </w:pPr>
      <w:r>
        <w:rPr>
          <w:b/>
          <w:sz w:val="21"/>
        </w:rPr>
        <w:t xml:space="preserve">How to use it. </w:t>
      </w:r>
      <w:r>
        <w:rPr>
          <w:sz w:val="21"/>
        </w:rPr>
        <w:t>For each role, name a real person and confirm they know they hold it. The most common finding in a first governance audit is a role defined on paper that its supposed holder has never heard of.</w:t>
      </w:r>
    </w:p>
    <w:p/>
    <w:p>
      <w:pPr>
        <w:spacing w:before="200" w:after="80"/>
      </w:pPr>
      <w:r>
        <w:rPr>
          <w:b/>
          <w:color w:val="3F51B5"/>
          <w:sz w:val="24"/>
        </w:rPr>
        <w:t>Data roles</w:t>
      </w:r>
    </w:p>
    <w:p>
      <w:pPr>
        <w:spacing w:before="200" w:after="80"/>
      </w:pPr>
      <w:r>
        <w:rPr>
          <w:b/>
          <w:sz w:val="22"/>
        </w:rPr>
        <w:t>Data Owner</w:t>
      </w:r>
    </w:p>
    <w:p>
      <w:pPr>
        <w:spacing w:after="120"/>
      </w:pPr>
      <w:r>
        <w:rPr>
          <w:i w:val="0"/>
          <w:sz w:val="21"/>
        </w:rPr>
        <w:t>Accountable for a data domain's definitions, quality, access, and risk.</w:t>
      </w:r>
    </w:p>
    <w:p>
      <w:pPr>
        <w:pStyle w:val="ListBullet"/>
        <w:spacing w:after="60"/>
      </w:pPr>
      <w:r>
        <w:rPr>
          <w:sz w:val="21"/>
        </w:rPr>
        <w:t>Approves access to the domain, particularly Restricted data.</w:t>
      </w:r>
    </w:p>
    <w:p>
      <w:pPr>
        <w:pStyle w:val="ListBullet"/>
        <w:spacing w:after="60"/>
      </w:pPr>
      <w:r>
        <w:rPr>
          <w:sz w:val="21"/>
        </w:rPr>
        <w:t>Sets and monitors quality thresholds per Data Quality Standard.</w:t>
      </w:r>
    </w:p>
    <w:p>
      <w:pPr>
        <w:pStyle w:val="ListBullet"/>
        <w:spacing w:after="60"/>
      </w:pPr>
      <w:r>
        <w:rPr>
          <w:sz w:val="21"/>
        </w:rPr>
        <w:t>Accepts or escalates risk relating to the domain.</w:t>
      </w:r>
    </w:p>
    <w:p>
      <w:pPr>
        <w:pStyle w:val="ListBullet"/>
        <w:spacing w:after="60"/>
      </w:pPr>
      <w:r>
        <w:rPr>
          <w:sz w:val="21"/>
        </w:rPr>
        <w:t>Approves use of the domain's data for AI training.</w:t>
      </w:r>
    </w:p>
    <w:p>
      <w:pPr>
        <w:spacing w:after="120"/>
      </w:pPr>
      <w:r>
        <w:rPr>
          <w:i w:val="0"/>
          <w:sz w:val="21"/>
        </w:rPr>
        <w:t>Typically held by: the senior business leader who owns the process the data comes from — not IT, and not the team who happens to store it.</w:t>
      </w:r>
    </w:p>
    <w:p>
      <w:pPr>
        <w:spacing w:before="200" w:after="80"/>
      </w:pPr>
      <w:r>
        <w:rPr>
          <w:b/>
          <w:sz w:val="22"/>
        </w:rPr>
        <w:t>Data Steward</w:t>
      </w:r>
    </w:p>
    <w:p>
      <w:pPr>
        <w:spacing w:after="120"/>
      </w:pPr>
      <w:r>
        <w:rPr>
          <w:i w:val="0"/>
          <w:sz w:val="21"/>
        </w:rPr>
        <w:t>Responsible for day-to-day custody of a domain.</w:t>
      </w:r>
    </w:p>
    <w:p>
      <w:pPr>
        <w:pStyle w:val="ListBullet"/>
        <w:spacing w:after="60"/>
      </w:pPr>
      <w:r>
        <w:rPr>
          <w:sz w:val="21"/>
        </w:rPr>
        <w:t>Maintains business definitions and the data catalogue entry.</w:t>
      </w:r>
    </w:p>
    <w:p>
      <w:pPr>
        <w:pStyle w:val="ListBullet"/>
        <w:spacing w:after="60"/>
      </w:pPr>
      <w:r>
        <w:rPr>
          <w:sz w:val="21"/>
        </w:rPr>
        <w:t>Monitors quality and triages issues.</w:t>
      </w:r>
    </w:p>
    <w:p>
      <w:pPr>
        <w:pStyle w:val="ListBullet"/>
        <w:spacing w:after="60"/>
      </w:pPr>
      <w:r>
        <w:rPr>
          <w:sz w:val="21"/>
        </w:rPr>
        <w:t>First point of contact for questions about the data's meaning.</w:t>
      </w:r>
    </w:p>
    <w:p>
      <w:pPr>
        <w:spacing w:before="200" w:after="80"/>
      </w:pPr>
      <w:r>
        <w:rPr>
          <w:b/>
          <w:sz w:val="22"/>
        </w:rPr>
        <w:t>Data Custodian</w:t>
      </w:r>
    </w:p>
    <w:p>
      <w:pPr>
        <w:spacing w:after="120"/>
      </w:pPr>
      <w:r>
        <w:rPr>
          <w:i w:val="0"/>
          <w:sz w:val="21"/>
        </w:rPr>
        <w:t>Responsible for technical operation: storage, backup, access enforcement, encryption, and monitoring. Usually sits in engineering or platform.</w:t>
      </w:r>
    </w:p>
    <w:p>
      <w:pPr>
        <w:spacing w:before="200" w:after="80"/>
      </w:pPr>
      <w:r>
        <w:rPr>
          <w:b/>
          <w:color w:val="3F51B5"/>
          <w:sz w:val="24"/>
        </w:rPr>
        <w:t>AI roles</w:t>
      </w:r>
    </w:p>
    <w:p>
      <w:pPr>
        <w:spacing w:before="200" w:after="80"/>
      </w:pPr>
      <w:r>
        <w:rPr>
          <w:b/>
          <w:sz w:val="22"/>
        </w:rPr>
        <w:t>AI Accountable Owner (per system)</w:t>
      </w:r>
    </w:p>
    <w:p>
      <w:pPr>
        <w:spacing w:after="120"/>
      </w:pPr>
      <w:r>
        <w:rPr>
          <w:i w:val="0"/>
          <w:sz w:val="21"/>
        </w:rPr>
        <w:t>Accountable for one AI system's outcomes and compliance across its whole lifecycle.</w:t>
      </w:r>
    </w:p>
    <w:p>
      <w:pPr>
        <w:pStyle w:val="ListBullet"/>
        <w:spacing w:after="60"/>
      </w:pPr>
      <w:r>
        <w:rPr>
          <w:sz w:val="21"/>
        </w:rPr>
        <w:t>Ensures classification, assessment, and documentation are complete.</w:t>
      </w:r>
    </w:p>
    <w:p>
      <w:pPr>
        <w:pStyle w:val="ListBullet"/>
        <w:spacing w:after="60"/>
      </w:pPr>
      <w:r>
        <w:rPr>
          <w:sz w:val="21"/>
        </w:rPr>
        <w:t>Signs off deployment and material change.</w:t>
      </w:r>
    </w:p>
    <w:p>
      <w:pPr>
        <w:pStyle w:val="ListBullet"/>
        <w:spacing w:after="60"/>
      </w:pPr>
      <w:r>
        <w:rPr>
          <w:sz w:val="21"/>
        </w:rPr>
        <w:t>Owns monitoring, incidents, and eventual retirement.</w:t>
      </w:r>
    </w:p>
    <w:p>
      <w:pPr>
        <w:pStyle w:val="ListBullet"/>
        <w:spacing w:after="60"/>
      </w:pPr>
      <w:r>
        <w:rPr>
          <w:sz w:val="21"/>
        </w:rPr>
        <w:t>Answerable if the system causes harm.</w:t>
      </w:r>
    </w:p>
    <w:p>
      <w:pPr>
        <w:spacing w:before="160" w:after="80"/>
      </w:pPr>
      <w:r>
        <w:rPr>
          <w:b/>
          <w:color w:val="3F51B5"/>
          <w:sz w:val="20"/>
        </w:rPr>
        <w:t>This role cannot be a committee</w:t>
      </w:r>
    </w:p>
    <w:p>
      <w:pPr>
        <w:spacing w:after="120"/>
      </w:pPr>
      <w:r>
        <w:rPr>
          <w:i/>
          <w:color w:val="606060"/>
          <w:sz w:val="20"/>
        </w:rPr>
        <w:t>Every AI system needs one named human. If your answer to "who is accountable for this system?" is a team name, you do not yet have an accountable owner.</w:t>
      </w:r>
    </w:p>
    <w:p>
      <w:pPr>
        <w:spacing w:before="200" w:after="80"/>
      </w:pPr>
      <w:r>
        <w:rPr>
          <w:b/>
          <w:sz w:val="22"/>
        </w:rPr>
        <w:t>Model Developer / ML Engineer</w:t>
      </w:r>
    </w:p>
    <w:p>
      <w:pPr>
        <w:spacing w:after="120"/>
      </w:pPr>
      <w:r>
        <w:rPr>
          <w:i w:val="0"/>
          <w:sz w:val="21"/>
        </w:rPr>
        <w:t>Responsible for building within Ai Development Standard: documenting data, evaluating performance and bias, producing the Model Card, and raising risks they discover rather than routing around them.</w:t>
      </w:r>
    </w:p>
    <w:p>
      <w:pPr>
        <w:spacing w:before="200" w:after="80"/>
      </w:pPr>
      <w:r>
        <w:rPr>
          <w:b/>
          <w:sz w:val="22"/>
        </w:rPr>
        <w:t>Product Owner</w:t>
      </w:r>
    </w:p>
    <w:p>
      <w:pPr>
        <w:spacing w:after="120"/>
      </w:pPr>
      <w:r>
        <w:rPr>
          <w:i w:val="0"/>
          <w:sz w:val="21"/>
        </w:rPr>
        <w:t>Responsible for the use case: whether the system should exist, how it affects users, transparency to those users, and designing oversight that works in the real workflow.</w:t>
      </w:r>
    </w:p>
    <w:p>
      <w:pPr>
        <w:spacing w:before="200" w:after="80"/>
      </w:pPr>
      <w:r>
        <w:rPr>
          <w:b/>
          <w:color w:val="3F51B5"/>
          <w:sz w:val="24"/>
        </w:rPr>
        <w:t>Governance &amp; assurance roles</w:t>
      </w:r>
    </w:p>
    <w:p>
      <w:pPr>
        <w:spacing w:before="200" w:after="80"/>
      </w:pPr>
      <w:r>
        <w:rPr>
          <w:b/>
          <w:sz w:val="22"/>
        </w:rPr>
        <w:t>Governance Lead</w:t>
      </w:r>
    </w:p>
    <w:p>
      <w:pPr>
        <w:spacing w:after="120"/>
      </w:pPr>
      <w:r>
        <w:rPr>
          <w:i w:val="0"/>
          <w:sz w:val="21"/>
        </w:rPr>
        <w:t>Accountable for the programme: maintaining frameworks and registers, running the committee, reporting, and driving remediation. The role that makes governance an operating function rather than a document set.</w:t>
      </w:r>
    </w:p>
    <w:p>
      <w:pPr>
        <w:spacing w:before="200" w:after="80"/>
      </w:pPr>
      <w:r>
        <w:rPr>
          <w:b/>
          <w:sz w:val="22"/>
        </w:rPr>
        <w:t>Legal / DPO</w:t>
      </w:r>
    </w:p>
    <w:p>
      <w:pPr>
        <w:spacing w:after="120"/>
      </w:pPr>
      <w:r>
        <w:rPr>
          <w:i w:val="0"/>
          <w:sz w:val="21"/>
        </w:rPr>
        <w:t>Responsible for lawfulness: regulatory interpretation, DPIAs, lawful basis, contracts, and the independence to say no. Note that a DPO's statutory independence limits how far they can also own delivery.</w:t>
      </w:r>
    </w:p>
    <w:p>
      <w:pPr>
        <w:spacing w:before="200" w:after="80"/>
      </w:pPr>
      <w:r>
        <w:rPr>
          <w:b/>
          <w:sz w:val="22"/>
        </w:rPr>
        <w:t>Security</w:t>
      </w:r>
    </w:p>
    <w:p>
      <w:pPr>
        <w:spacing w:after="120"/>
      </w:pPr>
      <w:r>
        <w:rPr>
          <w:i w:val="0"/>
          <w:sz w:val="21"/>
        </w:rPr>
        <w:t>Responsible for protecting systems and data, including AI-specific threats — see Control Library.</w:t>
      </w:r>
    </w:p>
    <w:p>
      <w:pPr>
        <w:spacing w:before="200" w:after="80"/>
      </w:pPr>
      <w:r>
        <w:rPr>
          <w:b/>
          <w:sz w:val="22"/>
        </w:rPr>
        <w:t>Internal Audit</w:t>
      </w:r>
    </w:p>
    <w:p>
      <w:pPr>
        <w:spacing w:after="120"/>
      </w:pPr>
      <w:r>
        <w:rPr>
          <w:i w:val="0"/>
          <w:sz w:val="21"/>
        </w:rPr>
        <w:t>Accountable for independent assurance. Must not have designed or operated the controls being assured.</w:t>
      </w:r>
    </w:p>
    <w:p>
      <w:pPr>
        <w:spacing w:before="200" w:after="80"/>
      </w:pPr>
      <w:r>
        <w:rPr>
          <w:b/>
          <w:color w:val="3F51B5"/>
          <w:sz w:val="24"/>
        </w:rPr>
        <w:t>Appointment record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930"/>
        <w:gridCol w:w="1930"/>
        <w:gridCol w:w="1930"/>
        <w:gridCol w:w="1930"/>
        <w:gridCol w:w="1930"/>
      </w:tblGrid>
      <w:tr>
        <w:tc>
          <w:tcPr>
            <w:tcW w:type="dxa" w:w="1930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Role</w:t>
            </w:r>
          </w:p>
        </w:tc>
        <w:tc>
          <w:tcPr>
            <w:tcW w:type="dxa" w:w="1930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Holder</w:t>
            </w:r>
          </w:p>
        </w:tc>
        <w:tc>
          <w:tcPr>
            <w:tcW w:type="dxa" w:w="1930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Appointed</w:t>
            </w:r>
          </w:p>
        </w:tc>
        <w:tc>
          <w:tcPr>
            <w:tcW w:type="dxa" w:w="1930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Deputy</w:t>
            </w:r>
          </w:p>
        </w:tc>
        <w:tc>
          <w:tcPr>
            <w:tcW w:type="dxa" w:w="1930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Confirmed aware</w:t>
            </w:r>
          </w:p>
        </w:tc>
      </w:tr>
      <w:tr>
        <w:tc>
          <w:tcPr>
            <w:tcW w:type="dxa" w:w="1930"/>
          </w:tcPr>
          <w:p>
            <w:pPr>
              <w:spacing w:after="40"/>
            </w:pPr>
            <w:r/>
            <w:r>
              <w:rPr>
                <w:sz w:val="17"/>
              </w:rPr>
              <w:t>Governance Lead</w:t>
            </w:r>
          </w:p>
        </w:tc>
        <w:tc>
          <w:tcPr>
            <w:tcW w:type="dxa" w:w="1930"/>
          </w:tcPr>
          <w:p>
            <w:pPr>
              <w:spacing w:after="40"/>
            </w:pPr>
            <w:r/>
            <w:r>
              <w:rPr>
                <w:sz w:val="17"/>
              </w:rPr>
              <w:t>[name]</w:t>
            </w:r>
          </w:p>
        </w:tc>
        <w:tc>
          <w:tcPr>
            <w:tcW w:type="dxa" w:w="1930"/>
          </w:tcPr>
          <w:p>
            <w:pPr>
              <w:spacing w:after="40"/>
            </w:pPr>
            <w:r/>
            <w:r>
              <w:rPr>
                <w:sz w:val="17"/>
              </w:rPr>
              <w:t>[date]</w:t>
            </w:r>
          </w:p>
        </w:tc>
        <w:tc>
          <w:tcPr>
            <w:tcW w:type="dxa" w:w="1930"/>
          </w:tcPr>
          <w:p>
            <w:pPr>
              <w:spacing w:after="40"/>
            </w:pPr>
            <w:r/>
            <w:r>
              <w:rPr>
                <w:sz w:val="17"/>
              </w:rPr>
              <w:t>[name]</w:t>
            </w:r>
          </w:p>
        </w:tc>
        <w:tc>
          <w:tcPr>
            <w:tcW w:type="dxa" w:w="1930"/>
          </w:tcPr>
          <w:p>
            <w:pPr>
              <w:spacing w:after="40"/>
            </w:pPr>
            <w:r/>
            <w:r>
              <w:rPr>
                <w:sz w:val="17"/>
              </w:rPr>
              <w:t>[ ]</w:t>
            </w:r>
          </w:p>
        </w:tc>
      </w:tr>
      <w:tr>
        <w:tc>
          <w:tcPr>
            <w:tcW w:type="dxa" w:w="1930"/>
          </w:tcPr>
          <w:p>
            <w:pPr>
              <w:spacing w:after="40"/>
            </w:pPr>
            <w:r/>
            <w:r>
              <w:rPr>
                <w:sz w:val="17"/>
              </w:rPr>
              <w:t>Data Owner — [domain]</w:t>
            </w:r>
          </w:p>
        </w:tc>
        <w:tc>
          <w:tcPr>
            <w:tcW w:type="dxa" w:w="1930"/>
          </w:tcPr>
          <w:p>
            <w:pPr>
              <w:spacing w:after="40"/>
            </w:pPr>
            <w:r/>
            <w:r>
              <w:rPr>
                <w:sz w:val="17"/>
              </w:rPr>
              <w:t>[name]</w:t>
            </w:r>
          </w:p>
        </w:tc>
        <w:tc>
          <w:tcPr>
            <w:tcW w:type="dxa" w:w="1930"/>
          </w:tcPr>
          <w:p>
            <w:pPr>
              <w:spacing w:after="40"/>
            </w:pPr>
            <w:r/>
            <w:r>
              <w:rPr>
                <w:sz w:val="17"/>
              </w:rPr>
              <w:t>[date]</w:t>
            </w:r>
          </w:p>
        </w:tc>
        <w:tc>
          <w:tcPr>
            <w:tcW w:type="dxa" w:w="1930"/>
          </w:tcPr>
          <w:p>
            <w:pPr>
              <w:spacing w:after="40"/>
            </w:pPr>
            <w:r/>
            <w:r>
              <w:rPr>
                <w:sz w:val="17"/>
              </w:rPr>
              <w:t>[name]</w:t>
            </w:r>
          </w:p>
        </w:tc>
        <w:tc>
          <w:tcPr>
            <w:tcW w:type="dxa" w:w="1930"/>
          </w:tcPr>
          <w:p>
            <w:pPr>
              <w:spacing w:after="40"/>
            </w:pPr>
            <w:r/>
            <w:r>
              <w:rPr>
                <w:sz w:val="17"/>
              </w:rPr>
              <w:t>[ ]</w:t>
            </w:r>
          </w:p>
        </w:tc>
      </w:tr>
      <w:tr>
        <w:tc>
          <w:tcPr>
            <w:tcW w:type="dxa" w:w="1930"/>
          </w:tcPr>
          <w:p>
            <w:pPr>
              <w:spacing w:after="40"/>
            </w:pPr>
            <w:r/>
            <w:r>
              <w:rPr>
                <w:sz w:val="17"/>
              </w:rPr>
              <w:t>AI Accountable Owner — [system]</w:t>
            </w:r>
          </w:p>
        </w:tc>
        <w:tc>
          <w:tcPr>
            <w:tcW w:type="dxa" w:w="1930"/>
          </w:tcPr>
          <w:p>
            <w:pPr>
              <w:spacing w:after="40"/>
            </w:pPr>
            <w:r/>
            <w:r>
              <w:rPr>
                <w:sz w:val="17"/>
              </w:rPr>
              <w:t>[name]</w:t>
            </w:r>
          </w:p>
        </w:tc>
        <w:tc>
          <w:tcPr>
            <w:tcW w:type="dxa" w:w="1930"/>
          </w:tcPr>
          <w:p>
            <w:pPr>
              <w:spacing w:after="40"/>
            </w:pPr>
            <w:r/>
            <w:r>
              <w:rPr>
                <w:sz w:val="17"/>
              </w:rPr>
              <w:t>[date]</w:t>
            </w:r>
          </w:p>
        </w:tc>
        <w:tc>
          <w:tcPr>
            <w:tcW w:type="dxa" w:w="1930"/>
          </w:tcPr>
          <w:p>
            <w:pPr>
              <w:spacing w:after="40"/>
            </w:pPr>
            <w:r/>
            <w:r>
              <w:rPr>
                <w:sz w:val="17"/>
              </w:rPr>
              <w:t>[name]</w:t>
            </w:r>
          </w:p>
        </w:tc>
        <w:tc>
          <w:tcPr>
            <w:tcW w:type="dxa" w:w="1930"/>
          </w:tcPr>
          <w:p>
            <w:pPr>
              <w:spacing w:after="40"/>
            </w:pPr>
            <w:r/>
            <w:r>
              <w:rPr>
                <w:sz w:val="17"/>
              </w:rPr>
              <w:t>[ ]</w:t>
            </w:r>
          </w:p>
        </w:tc>
      </w:tr>
    </w:tbl>
    <w:p>
      <w:pPr>
        <w:spacing w:after="80"/>
      </w:pPr>
    </w:p>
    <w:p>
      <w:pPr>
        <w:spacing w:before="280" w:after="80"/>
      </w:pPr>
      <w:r>
        <w:rPr>
          <w:b/>
          <w:color w:val="3F51B5"/>
          <w:sz w:val="28"/>
        </w:rPr>
        <w:t>Adaptation notes</w:t>
      </w:r>
    </w:p>
    <w:p>
      <w:pPr>
        <w:pStyle w:val="ListBullet"/>
        <w:spacing w:after="80"/>
      </w:pPr>
      <w:r>
        <w:rPr>
          <w:b/>
          <w:sz w:val="21"/>
        </w:rPr>
        <w:t xml:space="preserve">Small organisations: </w:t>
      </w:r>
      <w:r>
        <w:rPr>
          <w:sz w:val="21"/>
        </w:rPr>
        <w:t>One person may hold several roles. The only combination to avoid is someone assuring their own work — keep independent review genuinely independent, even if that means an external reviewer once a year.</w:t>
      </w:r>
    </w:p>
    <w:p>
      <w:pPr>
        <w:pStyle w:val="ListBullet"/>
        <w:spacing w:after="80"/>
      </w:pPr>
      <w:r>
        <w:rPr>
          <w:b/>
          <w:sz w:val="21"/>
        </w:rPr>
        <w:t xml:space="preserve">Regulated financial services: </w:t>
      </w:r>
      <w:r>
        <w:rPr>
          <w:sz w:val="21"/>
        </w:rPr>
        <w:t>Map these to your senior management regime responsibilities, and check whether any of them must be held by a certified or approved person.</w:t>
      </w:r>
    </w:p>
    <w:p>
      <w:pPr>
        <w:pStyle w:val="ListBullet"/>
        <w:spacing w:after="80"/>
      </w:pPr>
      <w:r>
        <w:rPr>
          <w:b/>
          <w:sz w:val="21"/>
        </w:rPr>
        <w:t xml:space="preserve">Where a statutory DPO exists: </w:t>
      </w:r>
      <w:r>
        <w:rPr>
          <w:sz w:val="21"/>
        </w:rPr>
        <w:t>The DPO advises and monitors; they should not also own the processing decisions they oversee, as that compromises the independence the role requires.</w:t>
      </w:r>
    </w:p>
    <w:p/>
    <w:p>
      <w:pPr>
        <w:spacing w:before="200"/>
      </w:pPr>
      <w:r>
        <w:rPr>
          <w:i/>
          <w:color w:val="606060"/>
          <w:sz w:val="17"/>
        </w:rPr>
        <w:t>Not legal advice. This template is a head start, not a substitute for professional judgement. Adapt it to your jurisdiction, sector, and risk appetite, and have qualified counsel review anything material before you rely on it.</w:t>
      </w:r>
    </w:p>
    <w:sectPr w:rsidR="00FC693F" w:rsidRPr="0006063C" w:rsidSect="00034616">
      <w:pgSz w:w="12240" w:h="15840"/>
      <w:pgMar w:top="1152" w:right="1296" w:bottom="1152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