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Risk Register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live record of data and AI risks: what could go wrong, how likely and how bad, what you are doing about it, and who owns it.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Continuously. Review at every committee meeting; refresh scoring at least quarterly.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Write risks as cause, event, and consequence — "because X, Y may happen, leading to Z". A register full of one-word risks like "data quality" cannot be managed, because nobody can tell what treating it would involve.</w:t>
      </w:r>
    </w:p>
    <w:p/>
    <w:p>
      <w:pPr>
        <w:spacing w:before="200" w:after="80"/>
      </w:pPr>
      <w:r>
        <w:rPr>
          <w:b/>
          <w:color w:val="3F51B5"/>
          <w:sz w:val="24"/>
        </w:rPr>
        <w:t>Scoring</w:t>
      </w:r>
    </w:p>
    <w:p>
      <w:pPr>
        <w:spacing w:after="120"/>
      </w:pPr>
      <w:r>
        <w:rPr>
          <w:i w:val="0"/>
          <w:sz w:val="21"/>
        </w:rPr>
        <w:t>Likelihood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Score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Level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Guide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1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Rare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Not expected in 5 years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2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Unlikely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Possible in 3–5 years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Possible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Likely within 2 years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Likely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Expected this year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5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Almost certain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Expected within months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Impact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Score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Level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Guide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1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Negligible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Absorbed in normal operation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2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Minor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Limited, contained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Moderate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Material; management attention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Major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Regulatory interest; significant harm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5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Severe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Enforcement, serious harm, or existential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Rating = likelihood × impact. 1–4 Low · 5–9 Medium · 10–14 High · 15–25 Critical.</w:t>
      </w:r>
    </w:p>
    <w:p>
      <w:pPr>
        <w:spacing w:before="200" w:after="80"/>
      </w:pPr>
      <w:r>
        <w:rPr>
          <w:b/>
          <w:color w:val="3F51B5"/>
          <w:sz w:val="24"/>
        </w:rPr>
        <w:t>The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  <w:gridCol w:w="877"/>
      </w:tblGrid>
      <w:tr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ID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Risk (cause → event → consequence)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Category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Rating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Treatment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Residual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Review</w:t>
            </w:r>
          </w:p>
        </w:tc>
      </w:tr>
      <w:tr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R-001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Because AI systems are procured without governance review, unassessed high-risk systems may go live, leading to regulatory breach and enforcement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Compliance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16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Mandatory intake gate; quarterly SaaS sweep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8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R-002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Because training data under-represents some groups, the model may produce discriminatory outcomes, leading to harm and legal claims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Fairness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5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15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Representativeness testing at G4; subgroup metrics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6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R-003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Because staff use unapproved AI tools, confidential data may be disclosed to third parties, leading to breach notification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Security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16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Approved tool list; DLP; training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8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R-004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Because vendors change models without notice, system behaviour may change silently, leading to undetected performance degradation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Operational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3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9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Contractual notification; output monitoring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4</w:t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877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Treatment options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Option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When appropriate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Record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Treat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Reduce likelihood or impact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The controls and their owner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Tolerate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Within appetite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Who accepted it, and when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Transfer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Insurance or contract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Note that accountability rarely transfers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Terminate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Risk exceeds value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The decision and rationale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Tolerating is a decision with a name on it</w:t>
      </w:r>
    </w:p>
    <w:p>
      <w:pPr>
        <w:spacing w:after="120"/>
      </w:pPr>
      <w:r>
        <w:rPr>
          <w:i/>
          <w:color w:val="606060"/>
          <w:sz w:val="20"/>
        </w:rPr>
        <w:t>Accepted risk must record who accepted it and at what level of authority — see Decision Rights. Risk that is tolerated by nobody in particular is risk that has simply been ignored.</w:t>
      </w:r>
    </w:p>
    <w:p>
      <w:pPr>
        <w:spacing w:before="200" w:after="80"/>
      </w:pPr>
      <w:r>
        <w:rPr>
          <w:b/>
          <w:color w:val="3F51B5"/>
          <w:sz w:val="24"/>
        </w:rPr>
        <w:t>Common AI risks to consider</w:t>
      </w:r>
    </w:p>
    <w:p>
      <w:pPr>
        <w:spacing w:after="120"/>
      </w:pPr>
      <w:r>
        <w:rPr>
          <w:i w:val="0"/>
          <w:sz w:val="21"/>
        </w:rPr>
        <w:t>Use as a prompt, not a checklist to copy:</w:t>
      </w:r>
    </w:p>
    <w:p>
      <w:pPr>
        <w:pStyle w:val="ListBullet"/>
        <w:spacing w:after="60"/>
      </w:pPr>
      <w:r>
        <w:rPr>
          <w:sz w:val="21"/>
        </w:rPr>
        <w:t>Unassessed or unknown systems in production</w:t>
      </w:r>
    </w:p>
    <w:p>
      <w:pPr>
        <w:pStyle w:val="ListBullet"/>
        <w:spacing w:after="60"/>
      </w:pPr>
      <w:r>
        <w:rPr>
          <w:sz w:val="21"/>
        </w:rPr>
        <w:t>Discriminatory outcomes for protected groups</w:t>
      </w:r>
    </w:p>
    <w:p>
      <w:pPr>
        <w:pStyle w:val="ListBullet"/>
        <w:spacing w:after="60"/>
      </w:pPr>
      <w:r>
        <w:rPr>
          <w:sz w:val="21"/>
        </w:rPr>
        <w:t>Model drift degrading performance unnoticed</w:t>
      </w:r>
    </w:p>
    <w:p>
      <w:pPr>
        <w:pStyle w:val="ListBullet"/>
        <w:spacing w:after="60"/>
      </w:pPr>
      <w:r>
        <w:rPr>
          <w:sz w:val="21"/>
        </w:rPr>
        <w:t>Over-reliance: humans rubber-stamping AI output</w:t>
      </w:r>
    </w:p>
    <w:p>
      <w:pPr>
        <w:pStyle w:val="ListBullet"/>
        <w:spacing w:after="60"/>
      </w:pPr>
      <w:r>
        <w:rPr>
          <w:sz w:val="21"/>
        </w:rPr>
        <w:t>Confidential data leaked into external tools</w:t>
      </w:r>
    </w:p>
    <w:p>
      <w:pPr>
        <w:pStyle w:val="ListBullet"/>
        <w:spacing w:after="60"/>
      </w:pPr>
      <w:r>
        <w:rPr>
          <w:sz w:val="21"/>
        </w:rPr>
        <w:t>Prompt injection or training-data poisoning</w:t>
      </w:r>
    </w:p>
    <w:p>
      <w:pPr>
        <w:pStyle w:val="ListBullet"/>
        <w:spacing w:after="60"/>
      </w:pPr>
      <w:r>
        <w:rPr>
          <w:sz w:val="21"/>
        </w:rPr>
        <w:t>Vendor model change altering behaviour</w:t>
      </w:r>
    </w:p>
    <w:p>
      <w:pPr>
        <w:pStyle w:val="ListBullet"/>
        <w:spacing w:after="60"/>
      </w:pPr>
      <w:r>
        <w:rPr>
          <w:sz w:val="21"/>
        </w:rPr>
        <w:t>Inability to explain a decision when challenged</w:t>
      </w:r>
    </w:p>
    <w:p>
      <w:pPr>
        <w:pStyle w:val="ListBullet"/>
        <w:spacing w:after="60"/>
      </w:pPr>
      <w:r>
        <w:rPr>
          <w:sz w:val="21"/>
        </w:rPr>
        <w:t>Missing logs when evidence is needed</w:t>
      </w:r>
    </w:p>
    <w:p>
      <w:pPr>
        <w:pStyle w:val="ListBullet"/>
        <w:spacing w:after="60"/>
      </w:pPr>
      <w:r>
        <w:rPr>
          <w:sz w:val="21"/>
        </w:rPr>
        <w:t>Key-person dependency on one ML engineer</w:t>
      </w:r>
    </w:p>
    <w:p>
      <w:pPr>
        <w:spacing w:before="200" w:after="80"/>
      </w:pPr>
      <w:r>
        <w:rPr>
          <w:b/>
          <w:color w:val="3F51B5"/>
          <w:sz w:val="24"/>
        </w:rPr>
        <w:t>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Level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Cadence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Critical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Monthly, at committee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High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Quarterly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Medium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Half-yearly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Low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Annually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A 3×3 matrix and a single register covering all risk types is easier to sustain than a separate AI register nobody looks at.</w:t>
      </w:r>
    </w:p>
    <w:p>
      <w:pPr>
        <w:pStyle w:val="ListBullet"/>
        <w:spacing w:after="80"/>
      </w:pPr>
      <w:r>
        <w:rPr>
          <w:b/>
          <w:sz w:val="21"/>
        </w:rPr>
        <w:t xml:space="preserve">Existing enterprise risk management: </w:t>
      </w:r>
      <w:r>
        <w:rPr>
          <w:sz w:val="21"/>
        </w:rPr>
        <w:t>Do not create a parallel register. Add AI risks to the enterprise one with an AI tag, so they reach the board through the route that already works.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Align scales with your enterprise risk framework, and map risks to the regulatory obligations they threaten.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