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Processing &amp; DPIA Log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The record of personal data processing activities and the impact assessments that cover them — the point where AI governance meets data protection law.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Maintain continuously. Complete a DPIA before high-risk processing begins, not after the system is built.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If you already keep an Art. 30 record of processing, extend it rather than starting a second list. Add the AI-specific columns and cross-reference the Ai System Inventory so the two can never disagree about what exists.</w:t>
      </w:r>
    </w:p>
    <w:p/>
    <w:p>
      <w:pPr>
        <w:spacing w:before="200" w:after="80"/>
      </w:pPr>
      <w:r>
        <w:rPr>
          <w:b/>
          <w:color w:val="3F51B5"/>
          <w:sz w:val="24"/>
        </w:rPr>
        <w:t>Processing activities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ID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Activity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Purpose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Lawful basis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Categories of data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Data subjects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Special category?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Recipients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Transfers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Retention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AI system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DPIA</w:t>
            </w:r>
          </w:p>
        </w:tc>
      </w:tr>
      <w:tr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P-001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Customer support triage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Route and summarise tickets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Legitimate interests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Contact, ticket content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Customers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No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[vendor]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[country]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3y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AI-002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DPIA-002</w:t>
            </w:r>
          </w:p>
        </w:tc>
      </w:tr>
      <w:tr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P-002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Candidate screening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Shortlist applicants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Legitimate interests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CV, application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Candidates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Possible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[vendor]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EU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12m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AI-004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DPIA-001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When a DPIA is required</w:t>
      </w:r>
    </w:p>
    <w:p>
      <w:pPr>
        <w:spacing w:after="120"/>
      </w:pPr>
      <w:r>
        <w:rPr>
          <w:i w:val="0"/>
          <w:sz w:val="21"/>
        </w:rPr>
        <w:t>A DPIA is required where processing is likely to result in high risk — and for AI, that is common. Triggers include:</w:t>
      </w:r>
    </w:p>
    <w:p>
      <w:pPr>
        <w:spacing w:after="60"/>
        <w:ind w:left="360"/>
      </w:pPr>
      <w:r>
        <w:rPr>
          <w:sz w:val="21"/>
        </w:rPr>
        <w:t>☐  Systematic and extensive automated evaluation of people, including</w:t>
      </w:r>
    </w:p>
    <w:p>
      <w:pPr>
        <w:spacing w:after="120"/>
      </w:pPr>
      <w:r>
        <w:rPr>
          <w:i w:val="0"/>
          <w:sz w:val="21"/>
        </w:rPr>
        <w:t>profiling, with legal or similarly significant effects</w:t>
      </w:r>
    </w:p>
    <w:p>
      <w:pPr>
        <w:spacing w:after="60"/>
        <w:ind w:left="360"/>
      </w:pPr>
      <w:r>
        <w:rPr>
          <w:sz w:val="21"/>
        </w:rPr>
        <w:t>☐  Large-scale processing of special category data</w:t>
      </w:r>
    </w:p>
    <w:p>
      <w:pPr>
        <w:spacing w:after="60"/>
        <w:ind w:left="360"/>
      </w:pPr>
      <w:r>
        <w:rPr>
          <w:sz w:val="21"/>
        </w:rPr>
        <w:t>☐  Systematic monitoring of a publicly accessible area</w:t>
      </w:r>
    </w:p>
    <w:p>
      <w:pPr>
        <w:spacing w:after="60"/>
        <w:ind w:left="360"/>
      </w:pPr>
      <w:r>
        <w:rPr>
          <w:sz w:val="21"/>
        </w:rPr>
        <w:t>☐  Innovative technology applied to personal data — most novel AI</w:t>
      </w:r>
    </w:p>
    <w:p>
      <w:pPr>
        <w:spacing w:after="120"/>
      </w:pPr>
      <w:r>
        <w:rPr>
          <w:i w:val="0"/>
          <w:sz w:val="21"/>
        </w:rPr>
        <w:t>qualifies</w:t>
      </w:r>
    </w:p>
    <w:p>
      <w:pPr>
        <w:spacing w:after="60"/>
        <w:ind w:left="360"/>
      </w:pPr>
      <w:r>
        <w:rPr>
          <w:sz w:val="21"/>
        </w:rPr>
        <w:t>☐  Processing that prevents access to a service or contract</w:t>
      </w:r>
    </w:p>
    <w:p>
      <w:pPr>
        <w:spacing w:after="60"/>
        <w:ind w:left="360"/>
      </w:pPr>
      <w:r>
        <w:rPr>
          <w:sz w:val="21"/>
        </w:rPr>
        <w:t>☐  Data concerning vulnerable people, including employees and children</w:t>
      </w:r>
    </w:p>
    <w:p>
      <w:pPr>
        <w:spacing w:before="160" w:after="80"/>
      </w:pPr>
      <w:r>
        <w:rPr>
          <w:b/>
          <w:color w:val="3F51B5"/>
          <w:sz w:val="20"/>
        </w:rPr>
        <w:t>AI Act and GDPR assessments overlap — link them</w:t>
      </w:r>
    </w:p>
    <w:p>
      <w:pPr>
        <w:spacing w:after="120"/>
      </w:pPr>
      <w:r>
        <w:rPr>
          <w:i/>
          <w:color w:val="606060"/>
          <w:sz w:val="20"/>
        </w:rPr>
        <w:t>A high-risk AI system will usually need both a DPIA and an AI risk assessment, and certain deployers additionally owe a fundamental rights impact assessment. Run them together and cross-reference; duplicating the analysis in two documents guarantees they will diverge.</w:t>
      </w:r>
    </w:p>
    <w:p>
      <w:pPr>
        <w:spacing w:before="200" w:after="80"/>
      </w:pPr>
      <w:r>
        <w:rPr>
          <w:b/>
          <w:color w:val="3F51B5"/>
          <w:sz w:val="24"/>
        </w:rPr>
        <w:t>DPIA log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</w:tblGrid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ID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System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Processing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Started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Completed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Outcome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Residual risk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DPO opinion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Consulted authority?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Review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DPIA-001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AI-004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Candidate screening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Proceed with controls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Medium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Given [date]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No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DPIA contents</w:t>
      </w:r>
    </w:p>
    <w:p>
      <w:pPr>
        <w:pStyle w:val="ListNumber"/>
        <w:spacing w:after="60"/>
      </w:pPr>
      <w:r>
        <w:rPr>
          <w:sz w:val="21"/>
        </w:rPr>
        <w:t>Description — nature, scope, context, purpose; how the AI works in terms a non-specialist can follow.</w:t>
      </w:r>
    </w:p>
    <w:p>
      <w:pPr>
        <w:pStyle w:val="ListNumber"/>
        <w:spacing w:after="60"/>
      </w:pPr>
      <w:r>
        <w:rPr>
          <w:sz w:val="21"/>
        </w:rPr>
        <w:t>Necessity and proportionality — lawful basis, and why a less intrusive option would not achieve the purpose.</w:t>
      </w:r>
    </w:p>
    <w:p>
      <w:pPr>
        <w:pStyle w:val="ListNumber"/>
        <w:spacing w:after="60"/>
      </w:pPr>
      <w:r>
        <w:rPr>
          <w:sz w:val="21"/>
        </w:rPr>
        <w:t>Risks to individuals — discrimination, loss of autonomy, inaccuracy, exclusion, distress, not merely security risk.</w:t>
      </w:r>
    </w:p>
    <w:p>
      <w:pPr>
        <w:pStyle w:val="ListNumber"/>
        <w:spacing w:after="60"/>
      </w:pPr>
      <w:r>
        <w:rPr>
          <w:sz w:val="21"/>
        </w:rPr>
        <w:t>Measures — controls, human oversight, transparency, and the routes for people to contest a decision.</w:t>
      </w:r>
    </w:p>
    <w:p>
      <w:pPr>
        <w:pStyle w:val="ListNumber"/>
        <w:spacing w:after="60"/>
      </w:pPr>
      <w:r>
        <w:rPr>
          <w:sz w:val="21"/>
        </w:rPr>
        <w:t>Residual risk and sign-off. If risk stays high after mitigation, prior consultation with the supervisory authority may be required.</w:t>
      </w:r>
    </w:p>
    <w:p>
      <w:pPr>
        <w:spacing w:before="200" w:after="80"/>
      </w:pPr>
      <w:r>
        <w:rPr>
          <w:b/>
          <w:color w:val="3F51B5"/>
          <w:sz w:val="24"/>
        </w:rPr>
        <w:t>Individual rights with AI</w:t>
      </w:r>
    </w:p>
    <w:p>
      <w:pPr>
        <w:spacing w:after="120"/>
      </w:pPr>
      <w:r>
        <w:rPr>
          <w:i w:val="0"/>
          <w:sz w:val="21"/>
        </w:rPr>
        <w:t>Confirm you can actually deliver these before the system goes live: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Right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The AI-specific question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Access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Can you show what data about them the system used?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Rectification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Can a correction propagate to model behaviour?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Erasure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Can you remove them from training data or retrain?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Object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Can you exclude them from processing?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Automated decisions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Can you offer human review, explanation, and challenge?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b/>
          <w:color w:val="3F51B5"/>
          <w:sz w:val="20"/>
        </w:rPr>
        <w:t>Erasure is the hard one</w:t>
      </w:r>
    </w:p>
    <w:p>
      <w:pPr>
        <w:spacing w:after="120"/>
      </w:pPr>
      <w:r>
        <w:rPr>
          <w:i/>
          <w:color w:val="606060"/>
          <w:sz w:val="20"/>
        </w:rPr>
        <w:t>"The data is in the model weights" is not an answer a regulator accepts. Decide your approach — retraining cadence, exclusion lists, or not training on personal data at all — before you build.</w:t>
      </w: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One spreadsheet covering both processing and DPIAs is fine. The lawful basis and retention columns are the ones auditors ask for first.</w:t>
      </w:r>
    </w:p>
    <w:p>
      <w:pPr>
        <w:pStyle w:val="ListBullet"/>
        <w:spacing w:after="80"/>
      </w:pPr>
      <w:r>
        <w:rPr>
          <w:b/>
          <w:sz w:val="21"/>
        </w:rPr>
        <w:t xml:space="preserve">Where a statutory DPO exists: </w:t>
      </w:r>
      <w:r>
        <w:rPr>
          <w:sz w:val="21"/>
        </w:rPr>
        <w:t>The DPO's opinion must be recorded, and where you proceed against it, the reasons must be documented.</w:t>
      </w:r>
    </w:p>
    <w:p>
      <w:pPr>
        <w:pStyle w:val="ListBullet"/>
        <w:spacing w:after="80"/>
      </w:pPr>
      <w:r>
        <w:rPr>
          <w:b/>
          <w:sz w:val="21"/>
        </w:rPr>
        <w:t xml:space="preserve">Non-EU / other regimes: </w:t>
      </w:r>
      <w:r>
        <w:rPr>
          <w:sz w:val="21"/>
        </w:rPr>
        <w:t>Replace DPIA with your local equivalent (e.g. a privacy impact assessment). The triggers and structure translate with little change.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