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3F51B5"/>
          <w:sz w:val="40"/>
        </w:rPr>
        <w:t>Maturity Assessment</w:t>
      </w:r>
    </w:p>
    <w:p>
      <w:pPr>
        <w:spacing w:after="240"/>
      </w:pPr>
      <w:r>
        <w:rPr>
          <w:i/>
          <w:color w:val="606060"/>
          <w:sz w:val="17"/>
        </w:rPr>
        <w:t>Open Data &amp; AI Governance Kit  ·  Licensed CC BY 4.0  ·  https://lsdeva.github.io/governance-kit/</w:t>
      </w:r>
    </w:p>
    <w:p>
      <w:pPr>
        <w:spacing w:after="120"/>
      </w:pPr>
      <w:r>
        <w:rPr>
          <w:b/>
          <w:sz w:val="21"/>
        </w:rPr>
        <w:t xml:space="preserve">Purpose. </w:t>
      </w:r>
      <w:r>
        <w:rPr>
          <w:sz w:val="21"/>
        </w:rPr>
        <w:t>A structured baseline of how capable your governance actually is today, across the dimensions that matter, so you can prioritise honestly and show movement over time.</w:t>
      </w:r>
    </w:p>
    <w:p>
      <w:pPr>
        <w:spacing w:after="120"/>
      </w:pPr>
      <w:r>
        <w:rPr>
          <w:b/>
          <w:sz w:val="21"/>
        </w:rPr>
        <w:t xml:space="preserve">When to use it. </w:t>
      </w:r>
      <w:r>
        <w:rPr>
          <w:sz w:val="21"/>
        </w:rPr>
        <w:t>At programme start, then every six to twelve months. Also useful immediately after an incident, when appetite for investment is briefly high.</w:t>
      </w:r>
    </w:p>
    <w:p>
      <w:pPr>
        <w:spacing w:after="120"/>
      </w:pPr>
      <w:r>
        <w:rPr>
          <w:b/>
          <w:sz w:val="21"/>
        </w:rPr>
        <w:t xml:space="preserve">How to use it. </w:t>
      </w:r>
      <w:r>
        <w:rPr>
          <w:sz w:val="21"/>
        </w:rPr>
        <w:t>Score each dimension 0–4 against the descriptors, evidencing every score with something you could show an auditor. Score what is true, not what is intended — an optimistic baseline destroys the credibility of every later improvement you report.</w:t>
      </w:r>
    </w:p>
    <w:p/>
    <w:p>
      <w:pPr>
        <w:spacing w:before="200" w:after="80"/>
      </w:pPr>
      <w:r>
        <w:rPr>
          <w:b/>
          <w:color w:val="3F51B5"/>
          <w:sz w:val="24"/>
        </w:rPr>
        <w:t>Maturity levels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16"/>
        <w:gridCol w:w="3216"/>
        <w:gridCol w:w="3216"/>
      </w:tblGrid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Level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Name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Description</w:t>
            </w:r>
          </w:p>
        </w:tc>
      </w:tr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0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Absent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Nothing in place.</w:t>
            </w:r>
          </w:p>
        </w:tc>
      </w:tr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1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Initial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Ad hoc, individual effort, undocumented.</w:t>
            </w:r>
          </w:p>
        </w:tc>
      </w:tr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2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Developing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Documented but inconsistently applied.</w:t>
            </w:r>
          </w:p>
        </w:tc>
      </w:tr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3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Defined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Standardised, applied consistently, evidenced.</w:t>
            </w:r>
          </w:p>
        </w:tc>
      </w:tr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4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Managed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Measured, reviewed, and improved on evidence.</w:t>
            </w:r>
          </w:p>
        </w:tc>
      </w:tr>
    </w:tbl>
    <w:p>
      <w:pPr>
        <w:spacing w:after="80"/>
      </w:pPr>
    </w:p>
    <w:p>
      <w:pPr>
        <w:spacing w:before="200" w:after="80"/>
      </w:pPr>
      <w:r>
        <w:rPr>
          <w:b/>
          <w:color w:val="3F51B5"/>
          <w:sz w:val="24"/>
        </w:rPr>
        <w:t>Assessment</w:t>
      </w:r>
    </w:p>
    <w:p>
      <w:pPr>
        <w:spacing w:after="120"/>
      </w:pPr>
      <w:r>
        <w:rPr>
          <w:i w:val="0"/>
          <w:sz w:val="21"/>
        </w:rPr>
        <w:t>Score each dimension. Record evidence — a score without evidence is an opinion.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608"/>
        <w:gridCol w:w="1608"/>
        <w:gridCol w:w="1608"/>
        <w:gridCol w:w="1608"/>
        <w:gridCol w:w="1608"/>
        <w:gridCol w:w="1608"/>
      </w:tblGrid>
      <w:tr>
        <w:tc>
          <w:tcPr>
            <w:tcW w:type="dxa" w:w="1608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#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Dimension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Score (0–4)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Evidence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Target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Owner</w:t>
            </w:r>
          </w:p>
        </w:tc>
      </w:tr>
      <w:tr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  <w:t>1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  <w:t>Governance mandate &amp; sponsorship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</w:tr>
      <w:tr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  <w:t>2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  <w:t>Committee &amp; decision rights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</w:tr>
      <w:tr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  <w:t>3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  <w:t>Roles &amp; accountability (RACI)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</w:tr>
      <w:tr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  <w:t>4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  <w:t>Policy &amp; standards coverage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</w:tr>
      <w:tr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  <w:t>5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  <w:t>Data ownership &amp; domains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</w:tr>
      <w:tr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  <w:t>6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  <w:t>Data quality management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</w:tr>
      <w:tr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  <w:t>7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  <w:t>Data classification &amp; handling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</w:tr>
      <w:tr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  <w:t>8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  <w:t>AI inventory &amp; classification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</w:tr>
      <w:tr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  <w:t>9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  <w:t>AI risk assessment process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</w:tr>
      <w:tr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  <w:t>10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  <w:t>Model documentation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</w:tr>
      <w:tr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  <w:t>11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  <w:t>Human oversight design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</w:tr>
      <w:tr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  <w:t>12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  <w:t>Third-party / vendor AI risk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</w:tr>
      <w:tr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  <w:t>13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  <w:t>Incident management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</w:tr>
      <w:tr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  <w:t>14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  <w:t>Control library &amp; assurance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</w:tr>
      <w:tr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  <w:t>15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  <w:t>Board reporting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</w:tr>
      <w:tr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  <w:t>16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  <w:t>AI literacy &amp; training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</w:tr>
      <w:tr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  <w:t>17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  <w:t>Regulatory readiness (EU AI Act)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</w:tr>
    </w:tbl>
    <w:p>
      <w:pPr>
        <w:spacing w:after="80"/>
      </w:pPr>
    </w:p>
    <w:p>
      <w:pPr>
        <w:spacing w:before="200" w:after="80"/>
      </w:pPr>
      <w:r>
        <w:rPr>
          <w:b/>
          <w:color w:val="3F51B5"/>
          <w:sz w:val="24"/>
        </w:rPr>
        <w:t>Interpreting the result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16"/>
        <w:gridCol w:w="3216"/>
        <w:gridCol w:w="3216"/>
      </w:tblGrid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Average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Posture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What to do next</w:t>
            </w:r>
          </w:p>
        </w:tc>
      </w:tr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0.0–1.0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Early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Establish mandate, inventory, and prohibited-practice screening before anything else.</w:t>
            </w:r>
          </w:p>
        </w:tc>
      </w:tr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1.1–2.0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Developing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Close policy and documentation gaps; stand up the committee properly.</w:t>
            </w:r>
          </w:p>
        </w:tc>
      </w:tr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2.1–3.0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Established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Shift from writing documents to evidencing that controls operate.</w:t>
            </w:r>
          </w:p>
        </w:tc>
      </w:tr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3.1–4.0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Advanced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Focus on measurement, independent assurance, and continuous improvement.</w:t>
            </w:r>
          </w:p>
        </w:tc>
      </w:tr>
    </w:tbl>
    <w:p>
      <w:pPr>
        <w:spacing w:after="80"/>
      </w:pPr>
    </w:p>
    <w:p>
      <w:pPr>
        <w:spacing w:before="200" w:after="80"/>
      </w:pPr>
      <w:r>
        <w:rPr>
          <w:b/>
          <w:color w:val="3F51B5"/>
          <w:sz w:val="24"/>
        </w:rPr>
        <w:t>Heat map</w:t>
      </w:r>
    </w:p>
    <w:p>
      <w:pPr>
        <w:spacing w:after="120"/>
      </w:pPr>
      <w:r>
        <w:rPr>
          <w:i w:val="0"/>
          <w:sz w:val="21"/>
        </w:rPr>
        <w:t>Plot dimension against score to show the board where the thin ice is. The pattern usually matters more than the average: a 3.5 average hiding a 0 on inventory is worse than a flat 2.</w:t>
      </w:r>
    </w:p>
    <w:p>
      <w:pPr>
        <w:spacing w:before="200" w:after="80"/>
      </w:pPr>
      <w:r>
        <w:rPr>
          <w:b/>
          <w:color w:val="3F51B5"/>
          <w:sz w:val="24"/>
        </w:rPr>
        <w:t>Re-assessment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12"/>
        <w:gridCol w:w="2412"/>
        <w:gridCol w:w="2412"/>
        <w:gridCol w:w="2412"/>
      </w:tblGrid>
      <w:tr>
        <w:tc>
          <w:tcPr>
            <w:tcW w:type="dxa" w:w="2412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Date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Average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Movement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Notes</w:t>
            </w:r>
          </w:p>
        </w:tc>
      </w:tr>
      <w:tr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[date]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Baseline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</w:tr>
    </w:tbl>
    <w:p>
      <w:pPr>
        <w:spacing w:after="80"/>
      </w:pPr>
    </w:p>
    <w:p>
      <w:pPr>
        <w:spacing w:before="280" w:after="80"/>
      </w:pPr>
      <w:r>
        <w:rPr>
          <w:b/>
          <w:color w:val="3F51B5"/>
          <w:sz w:val="28"/>
        </w:rPr>
        <w:t>Adaptation notes</w:t>
      </w:r>
    </w:p>
    <w:p>
      <w:pPr>
        <w:pStyle w:val="ListBullet"/>
        <w:spacing w:after="80"/>
      </w:pPr>
      <w:r>
        <w:rPr>
          <w:b/>
          <w:sz w:val="21"/>
        </w:rPr>
        <w:t xml:space="preserve">Small organisations: </w:t>
      </w:r>
      <w:r>
        <w:rPr>
          <w:sz w:val="21"/>
        </w:rPr>
        <w:t>Drop dimensions 14 and 15 if you have no formal assurance function or board, and score the remaining 15. Do not score dimensions you have no realistic path to improving.</w:t>
      </w:r>
    </w:p>
    <w:p>
      <w:pPr>
        <w:pStyle w:val="ListBullet"/>
        <w:spacing w:after="80"/>
      </w:pPr>
      <w:r>
        <w:rPr>
          <w:b/>
          <w:sz w:val="21"/>
        </w:rPr>
        <w:t xml:space="preserve">Regulated sectors: </w:t>
      </w:r>
      <w:r>
        <w:rPr>
          <w:sz w:val="21"/>
        </w:rPr>
        <w:t>Add dimensions for model validation independence and regulatory reporting accuracy, and align the level descriptors with your supervisor's own maturity language where one exists.</w:t>
      </w:r>
    </w:p>
    <w:p>
      <w:pPr>
        <w:pStyle w:val="ListBullet"/>
        <w:spacing w:after="80"/>
      </w:pPr>
      <w:r>
        <w:rPr>
          <w:b/>
          <w:sz w:val="21"/>
        </w:rPr>
        <w:t xml:space="preserve">Using this with the assessment tool: </w:t>
      </w:r>
      <w:r>
        <w:rPr>
          <w:sz w:val="21"/>
        </w:rPr>
        <w:t>The role-based assessment scores obligation coverage; this scores organisational capability. They answer different questions — run both, and expect capability to lag coverage.</w:t>
      </w:r>
    </w:p>
    <w:p/>
    <w:p>
      <w:pPr>
        <w:spacing w:before="200"/>
      </w:pPr>
      <w:r>
        <w:rPr>
          <w:i/>
          <w:color w:val="606060"/>
          <w:sz w:val="17"/>
        </w:rPr>
        <w:t>Not legal advice. This template is a head start, not a substitute for professional judgement. Adapt it to your jurisdiction, sector, and risk appetite, and have qualified counsel review anything material before you rely on it.</w:t>
      </w:r>
    </w:p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