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KPI / KRI Dashboard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The measures that show whether governance is actually working — coverage, quality, timeliness, and leading indicators of trouble — rather than how much documentation exists.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Report every cycle. Review the metric set annually and drop anything that has never changed a decision.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Choose eight to twelve measures maximum and hold them stable, because trend is the point. Distinguish KPIs (is it working?) from KRIs (is something about to go wrong?) — most dashboards have far too few of the latter.</w:t>
      </w:r>
    </w:p>
    <w:p/>
    <w:p>
      <w:pPr>
        <w:spacing w:before="200" w:after="80"/>
      </w:pPr>
      <w:r>
        <w:rPr>
          <w:b/>
          <w:color w:val="3F51B5"/>
          <w:sz w:val="24"/>
        </w:rPr>
        <w:t>Coverage KPIs</w:t>
      </w:r>
    </w:p>
    <w:p>
      <w:pPr>
        <w:spacing w:after="120"/>
      </w:pPr>
      <w:r>
        <w:rPr>
          <w:i w:val="0"/>
          <w:sz w:val="21"/>
        </w:rPr>
        <w:t>Are we governing everything we should be?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Metric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Definition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Target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Source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systems registered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Registered ÷ known to exist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System Inventory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Systems classified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With recorded tier and rationale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Inventory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High-risk assessed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With current Ai Risk Assessment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Assessments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Documentation complete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High-risk with current Model Card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Model cards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Data assets registered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Material assets registered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[90%]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Data Asset Register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Vendors assessed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Critical AI vendors with current assessment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Vendor register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Effectiveness KPIs</w:t>
      </w:r>
    </w:p>
    <w:p>
      <w:pPr>
        <w:spacing w:after="120"/>
      </w:pPr>
      <w:r>
        <w:rPr>
          <w:i w:val="0"/>
          <w:sz w:val="21"/>
        </w:rPr>
        <w:t>Is it working, rather than merely present?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Metric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Definition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Target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Why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Assessment cycle time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Intake to decision, median days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 median of 10 working days from intake to decision (unless: 20 days for high-risk systems, which genuinely need a fuller assessment — but publish the longer target rather than quietly missing the shorter one.)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Slow governance gets bypassed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Gate pass rate first time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% passing without rework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70% (unless: Expect lower in the first two quarters while teams learn what is expected. Persistently below 50% means your standards are unclear, not that your teams are careless.)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Low means unclear standards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Data quality score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Weighted across key domains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[&gt; 95%]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Data Quality Standard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literacy completion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Relevant staff trained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[&gt; 90%]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Art. 4 obligation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Control tests passed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Tested controls operating effectively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[&gt; 95%]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Control Library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Risk indicators (KRIs)</w:t>
      </w:r>
    </w:p>
    <w:p>
      <w:pPr>
        <w:spacing w:after="120"/>
      </w:pPr>
      <w:r>
        <w:rPr>
          <w:i w:val="0"/>
          <w:sz w:val="21"/>
        </w:rPr>
        <w:t>Leading signals that something is going wrong.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Indicator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Threshold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Why it matters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Unregistered systems found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Any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Governance is being bypassed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Overdue high-risk reviews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&gt; 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Assessments going stale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Open high/critical risks past target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&gt; 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Treatment is not landing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Exceptions open beyond expiry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&gt; 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Silent policy erosion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Human override rate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Between 2% and 20% (unless: Judge it per system rather than globally. What matters is that the rate is monitored and explicable, not that it sits in any particular band.)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Too low = rubber-stamping; too high = model not fit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Model drift alerts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Any unresolved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Performance degrading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Incidents detected externally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Any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Monitoring is not working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Mean time to detect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Increasing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Detection is degrading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Override rate is the single best oversight metric</w:t>
      </w:r>
    </w:p>
    <w:p>
      <w:pPr>
        <w:spacing w:after="120"/>
      </w:pPr>
      <w:r>
        <w:rPr>
          <w:i/>
          <w:color w:val="606060"/>
          <w:sz w:val="20"/>
        </w:rPr>
        <w:t>It is one of the few numbers that reveals whether human oversight is real. A rate near zero almost always means reviewers are approving by default, not that the model is perfect.</w:t>
      </w:r>
    </w:p>
    <w:p>
      <w:pPr>
        <w:spacing w:before="200" w:after="80"/>
      </w:pPr>
      <w:r>
        <w:rPr>
          <w:b/>
          <w:color w:val="3F51B5"/>
          <w:sz w:val="24"/>
        </w:rPr>
        <w:t>Presentation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Element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Guidance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RAG status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Define thresholds once and keep them fixed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Trend arrows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Direction matters more than level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Sparklines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Show the last 4–6 periods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Commentary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One line per amber or red, naming the action and owner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Dashboard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78"/>
        <w:gridCol w:w="1378"/>
        <w:gridCol w:w="1378"/>
        <w:gridCol w:w="1378"/>
        <w:gridCol w:w="1378"/>
        <w:gridCol w:w="1378"/>
        <w:gridCol w:w="1378"/>
      </w:tblGrid>
      <w:tr>
        <w:tc>
          <w:tcPr>
            <w:tcW w:type="dxa" w:w="137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Metric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Now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Last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Trend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Target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RAG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Commentary</w:t>
            </w:r>
          </w:p>
        </w:tc>
      </w:tr>
      <w:tr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AI systems registered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High-risk assessed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Documentation complete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AI literacy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90%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Open high risks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0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Override rate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  <w:t>2–20%</w:t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37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Metrics to avoid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Avoid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Use instead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Policies published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Measures activity, not effect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Attestation and exception rates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Training hours delivered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Time is not competence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Assessment pass rates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Number of meetings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Effort, not outcome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Decisions made and actions closed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Total AI systems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Growth is not risk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Systems by tier, unassessed count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Six metrics is plenty: registered, assessed, documented, trained, open high risks, and override rate.</w:t>
      </w:r>
    </w:p>
    <w:p>
      <w:pPr>
        <w:pStyle w:val="ListBullet"/>
        <w:spacing w:after="80"/>
      </w:pPr>
      <w:r>
        <w:rPr>
          <w:b/>
          <w:sz w:val="21"/>
        </w:rPr>
        <w:t xml:space="preserve">Early-stage programmes: </w:t>
      </w:r>
      <w:r>
        <w:rPr>
          <w:sz w:val="21"/>
        </w:rPr>
        <w:t>Coverage metrics first — you cannot measure effectiveness of controls you have not yet applied everywhere. Expect coverage to look bad initially; that is the honest baseline.</w:t>
      </w:r>
    </w:p>
    <w:p>
      <w:pPr>
        <w:pStyle w:val="ListBullet"/>
        <w:spacing w:after="80"/>
      </w:pPr>
      <w:r>
        <w:rPr>
          <w:b/>
          <w:sz w:val="21"/>
        </w:rPr>
        <w:t xml:space="preserve">Mature programmes: </w:t>
      </w:r>
      <w:r>
        <w:rPr>
          <w:sz w:val="21"/>
        </w:rPr>
        <w:t>Shift emphasis to KRIs and control-testing results. Coverage at 100% for four quarters running has stopped telling you anything.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