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3F51B5"/>
          <w:sz w:val="40"/>
        </w:rPr>
        <w:t>Issue &amp; Incident Log</w:t>
      </w:r>
    </w:p>
    <w:p>
      <w:pPr>
        <w:spacing w:after="240"/>
      </w:pPr>
      <w:r>
        <w:rPr>
          <w:i/>
          <w:color w:val="606060"/>
          <w:sz w:val="17"/>
        </w:rPr>
        <w:t>Open Data &amp; AI Governance Kit  ·  Licensed CC BY 4.0  ·  https://lsdeva.github.io/governance-kit/</w:t>
      </w:r>
    </w:p>
    <w:p>
      <w:pPr>
        <w:spacing w:after="120"/>
      </w:pPr>
      <w:r>
        <w:rPr>
          <w:b/>
          <w:sz w:val="21"/>
        </w:rPr>
        <w:t xml:space="preserve">Purpose. </w:t>
      </w:r>
      <w:r>
        <w:rPr>
          <w:sz w:val="21"/>
        </w:rPr>
        <w:t>The record of what went wrong, what you did, and what changed as a result. It is both a management tool and the evidence base for serious-incident reporting duties.</w:t>
      </w:r>
    </w:p>
    <w:p>
      <w:pPr>
        <w:spacing w:after="120"/>
      </w:pPr>
      <w:r>
        <w:rPr>
          <w:b/>
          <w:sz w:val="21"/>
        </w:rPr>
        <w:t xml:space="preserve">When to use it. </w:t>
      </w:r>
      <w:r>
        <w:rPr>
          <w:sz w:val="21"/>
        </w:rPr>
        <w:t>From day one. You need the route defined before the first incident, not during it.</w:t>
      </w:r>
    </w:p>
    <w:p>
      <w:pPr>
        <w:spacing w:after="120"/>
      </w:pPr>
      <w:r>
        <w:rPr>
          <w:b/>
          <w:sz w:val="21"/>
        </w:rPr>
        <w:t xml:space="preserve">How to use it. </w:t>
      </w:r>
      <w:r>
        <w:rPr>
          <w:sz w:val="21"/>
        </w:rPr>
        <w:t>Define severity and the reporting clock in advance, and make reporting easy and blameless. The failure mode is not a bad log — it is people not reporting at all because they fear the consequences.</w:t>
      </w:r>
    </w:p>
    <w:p/>
    <w:p>
      <w:pPr>
        <w:spacing w:before="200" w:after="80"/>
      </w:pPr>
      <w:r>
        <w:rPr>
          <w:b/>
          <w:color w:val="3F51B5"/>
          <w:sz w:val="24"/>
        </w:rPr>
        <w:t>Severity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12"/>
        <w:gridCol w:w="2412"/>
        <w:gridCol w:w="2412"/>
        <w:gridCol w:w="2412"/>
      </w:tblGrid>
      <w:tr>
        <w:tc>
          <w:tcPr>
            <w:tcW w:type="dxa" w:w="2412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Severity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Definition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Response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Notify</w:t>
            </w:r>
          </w:p>
        </w:tc>
      </w:tr>
      <w:tr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S1 Critical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Harm to people, regulatory breach, or major data loss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Immediate; incident lead appointed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Committee immediately; Board; regulator assessment within Within 24 hours of detection, in parallel with fixing it (unless: Immediately if the incident involves harm to a person or special category data.)</w:t>
            </w:r>
          </w:p>
        </w:tc>
      </w:tr>
      <w:tr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S2 Major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Material impact; significant risk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Within 4 hours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Committee within 24 hours</w:t>
            </w:r>
          </w:p>
        </w:tc>
      </w:tr>
      <w:tr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S3 Moderate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Contained impact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Within [1 working day]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Governance Lead</w:t>
            </w:r>
          </w:p>
        </w:tc>
      </w:tr>
      <w:tr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S4 Minor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Negligible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Next cycle</w:t>
            </w:r>
          </w:p>
        </w:tc>
        <w:tc>
          <w:tcPr>
            <w:tcW w:type="dxa" w:w="2412"/>
          </w:tcPr>
          <w:p>
            <w:pPr>
              <w:spacing w:after="40"/>
            </w:pPr>
            <w:r/>
            <w:r>
              <w:rPr>
                <w:sz w:val="17"/>
              </w:rPr>
              <w:t>Logged only</w:t>
            </w:r>
          </w:p>
        </w:tc>
      </w:tr>
    </w:tbl>
    <w:p>
      <w:pPr>
        <w:spacing w:after="80"/>
      </w:pPr>
    </w:p>
    <w:p>
      <w:pPr>
        <w:spacing w:before="160" w:after="80"/>
      </w:pPr>
      <w:r>
        <w:rPr>
          <w:b/>
          <w:color w:val="3F51B5"/>
          <w:sz w:val="20"/>
        </w:rPr>
        <w:t>The serious-incident clock</w:t>
      </w:r>
    </w:p>
    <w:p>
      <w:pPr>
        <w:spacing w:after="120"/>
      </w:pPr>
      <w:r>
        <w:rPr>
          <w:i/>
          <w:color w:val="606060"/>
          <w:sz w:val="20"/>
        </w:rPr>
        <w:t>Under Art. 73 the reporting window for serious incidents is short and starts when you establish the link between the system and the incident — not when you finish investigating. Assess reportability early and in parallel with fixing it.</w:t>
      </w:r>
    </w:p>
    <w:p>
      <w:pPr>
        <w:spacing w:before="200" w:after="80"/>
      </w:pPr>
      <w:r>
        <w:rPr>
          <w:b/>
          <w:color w:val="3F51B5"/>
          <w:sz w:val="24"/>
        </w:rPr>
        <w:t>The log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804"/>
        <w:gridCol w:w="804"/>
        <w:gridCol w:w="804"/>
        <w:gridCol w:w="804"/>
        <w:gridCol w:w="804"/>
        <w:gridCol w:w="804"/>
        <w:gridCol w:w="804"/>
        <w:gridCol w:w="804"/>
        <w:gridCol w:w="804"/>
        <w:gridCol w:w="804"/>
        <w:gridCol w:w="804"/>
        <w:gridCol w:w="804"/>
      </w:tblGrid>
      <w:tr>
        <w:tc>
          <w:tcPr>
            <w:tcW w:type="dxa" w:w="804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ID</w:t>
            </w:r>
          </w:p>
        </w:tc>
        <w:tc>
          <w:tcPr>
            <w:tcW w:type="dxa" w:w="804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Date</w:t>
            </w:r>
          </w:p>
        </w:tc>
        <w:tc>
          <w:tcPr>
            <w:tcW w:type="dxa" w:w="804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Title</w:t>
            </w:r>
          </w:p>
        </w:tc>
        <w:tc>
          <w:tcPr>
            <w:tcW w:type="dxa" w:w="804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System</w:t>
            </w:r>
          </w:p>
        </w:tc>
        <w:tc>
          <w:tcPr>
            <w:tcW w:type="dxa" w:w="804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Severity</w:t>
            </w:r>
          </w:p>
        </w:tc>
        <w:tc>
          <w:tcPr>
            <w:tcW w:type="dxa" w:w="804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Type</w:t>
            </w:r>
          </w:p>
        </w:tc>
        <w:tc>
          <w:tcPr>
            <w:tcW w:type="dxa" w:w="804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Reported by</w:t>
            </w:r>
          </w:p>
        </w:tc>
        <w:tc>
          <w:tcPr>
            <w:tcW w:type="dxa" w:w="804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Owner</w:t>
            </w:r>
          </w:p>
        </w:tc>
        <w:tc>
          <w:tcPr>
            <w:tcW w:type="dxa" w:w="804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Personal data?</w:t>
            </w:r>
          </w:p>
        </w:tc>
        <w:tc>
          <w:tcPr>
            <w:tcW w:type="dxa" w:w="804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Reportable?</w:t>
            </w:r>
          </w:p>
        </w:tc>
        <w:tc>
          <w:tcPr>
            <w:tcW w:type="dxa" w:w="804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Status</w:t>
            </w:r>
          </w:p>
        </w:tc>
        <w:tc>
          <w:tcPr>
            <w:tcW w:type="dxa" w:w="804"/>
          </w:tcPr>
          <w:p>
            <w:pPr>
              <w:spacing w:after="40"/>
            </w:pPr>
            <w:r/>
            <w:r>
              <w:rPr>
                <w:b/>
                <w:sz w:val="17"/>
              </w:rPr>
              <w:t>Closed</w:t>
            </w:r>
          </w:p>
        </w:tc>
      </w:tr>
      <w:tr>
        <w:tc>
          <w:tcPr>
            <w:tcW w:type="dxa" w:w="804"/>
          </w:tcPr>
          <w:p>
            <w:pPr>
              <w:spacing w:after="40"/>
            </w:pPr>
            <w:r/>
            <w:r>
              <w:rPr>
                <w:sz w:val="17"/>
              </w:rPr>
              <w:t>INC-001</w:t>
            </w:r>
          </w:p>
        </w:tc>
        <w:tc>
          <w:tcPr>
            <w:tcW w:type="dxa" w:w="804"/>
          </w:tcPr>
          <w:p>
            <w:pPr>
              <w:spacing w:after="40"/>
            </w:pPr>
            <w:r/>
            <w:r>
              <w:rPr>
                <w:sz w:val="17"/>
              </w:rPr>
              <w:t>[date]</w:t>
            </w:r>
          </w:p>
        </w:tc>
        <w:tc>
          <w:tcPr>
            <w:tcW w:type="dxa" w:w="804"/>
          </w:tcPr>
          <w:p>
            <w:pPr>
              <w:spacing w:after="40"/>
            </w:pPr>
            <w:r/>
            <w:r>
              <w:rPr>
                <w:sz w:val="17"/>
              </w:rPr>
              <w:t>Model returned biased ranking</w:t>
            </w:r>
          </w:p>
        </w:tc>
        <w:tc>
          <w:tcPr>
            <w:tcW w:type="dxa" w:w="804"/>
          </w:tcPr>
          <w:p>
            <w:pPr>
              <w:spacing w:after="40"/>
            </w:pPr>
            <w:r/>
            <w:r>
              <w:rPr>
                <w:sz w:val="17"/>
              </w:rPr>
              <w:t>AI-004</w:t>
            </w:r>
          </w:p>
        </w:tc>
        <w:tc>
          <w:tcPr>
            <w:tcW w:type="dxa" w:w="804"/>
          </w:tcPr>
          <w:p>
            <w:pPr>
              <w:spacing w:after="40"/>
            </w:pPr>
            <w:r/>
            <w:r>
              <w:rPr>
                <w:sz w:val="17"/>
              </w:rPr>
              <w:t>S2</w:t>
            </w:r>
          </w:p>
        </w:tc>
        <w:tc>
          <w:tcPr>
            <w:tcW w:type="dxa" w:w="804"/>
          </w:tcPr>
          <w:p>
            <w:pPr>
              <w:spacing w:after="40"/>
            </w:pPr>
            <w:r/>
            <w:r>
              <w:rPr>
                <w:sz w:val="17"/>
              </w:rPr>
              <w:t>Fairness</w:t>
            </w:r>
          </w:p>
        </w:tc>
        <w:tc>
          <w:tcPr>
            <w:tcW w:type="dxa" w:w="804"/>
          </w:tcPr>
          <w:p>
            <w:pPr>
              <w:spacing w:after="40"/>
            </w:pPr>
            <w:r/>
            <w:r>
              <w:rPr>
                <w:sz w:val="17"/>
              </w:rPr>
              <w:t>[name]</w:t>
            </w:r>
          </w:p>
        </w:tc>
        <w:tc>
          <w:tcPr>
            <w:tcW w:type="dxa" w:w="804"/>
          </w:tcPr>
          <w:p>
            <w:pPr>
              <w:spacing w:after="40"/>
            </w:pPr>
            <w:r/>
            <w:r>
              <w:rPr>
                <w:sz w:val="17"/>
              </w:rPr>
              <w:t>[name]</w:t>
            </w:r>
          </w:p>
        </w:tc>
        <w:tc>
          <w:tcPr>
            <w:tcW w:type="dxa" w:w="804"/>
          </w:tcPr>
          <w:p>
            <w:pPr>
              <w:spacing w:after="40"/>
            </w:pPr>
            <w:r/>
            <w:r>
              <w:rPr>
                <w:sz w:val="17"/>
              </w:rPr>
              <w:t>Yes</w:t>
            </w:r>
          </w:p>
        </w:tc>
        <w:tc>
          <w:tcPr>
            <w:tcW w:type="dxa" w:w="804"/>
          </w:tcPr>
          <w:p>
            <w:pPr>
              <w:spacing w:after="40"/>
            </w:pPr>
            <w:r/>
            <w:r>
              <w:rPr>
                <w:sz w:val="17"/>
              </w:rPr>
              <w:t>Under assessment</w:t>
            </w:r>
          </w:p>
        </w:tc>
        <w:tc>
          <w:tcPr>
            <w:tcW w:type="dxa" w:w="804"/>
          </w:tcPr>
          <w:p>
            <w:pPr>
              <w:spacing w:after="40"/>
            </w:pPr>
            <w:r/>
            <w:r>
              <w:rPr>
                <w:sz w:val="17"/>
              </w:rPr>
              <w:t>Open</w:t>
            </w:r>
          </w:p>
        </w:tc>
        <w:tc>
          <w:tcPr>
            <w:tcW w:type="dxa" w:w="804"/>
          </w:tcPr>
          <w:p>
            <w:pPr>
              <w:spacing w:after="40"/>
            </w:pPr>
            <w:r/>
            <w:r>
              <w:rPr>
                <w:sz w:val="17"/>
              </w:rPr>
            </w:r>
          </w:p>
        </w:tc>
      </w:tr>
      <w:tr>
        <w:tc>
          <w:tcPr>
            <w:tcW w:type="dxa" w:w="804"/>
          </w:tcPr>
          <w:p>
            <w:pPr>
              <w:spacing w:after="40"/>
            </w:pPr>
            <w:r/>
            <w:r>
              <w:rPr>
                <w:sz w:val="17"/>
              </w:rPr>
              <w:t>INC-002</w:t>
            </w:r>
          </w:p>
        </w:tc>
        <w:tc>
          <w:tcPr>
            <w:tcW w:type="dxa" w:w="804"/>
          </w:tcPr>
          <w:p>
            <w:pPr>
              <w:spacing w:after="40"/>
            </w:pPr>
            <w:r/>
            <w:r>
              <w:rPr>
                <w:sz w:val="17"/>
              </w:rPr>
              <w:t>[date]</w:t>
            </w:r>
          </w:p>
        </w:tc>
        <w:tc>
          <w:tcPr>
            <w:tcW w:type="dxa" w:w="804"/>
          </w:tcPr>
          <w:p>
            <w:pPr>
              <w:spacing w:after="40"/>
            </w:pPr>
            <w:r/>
            <w:r>
              <w:rPr>
                <w:sz w:val="17"/>
              </w:rPr>
              <w:t>Confidential doc pasted into public LLM</w:t>
            </w:r>
          </w:p>
        </w:tc>
        <w:tc>
          <w:tcPr>
            <w:tcW w:type="dxa" w:w="804"/>
          </w:tcPr>
          <w:p>
            <w:pPr>
              <w:spacing w:after="40"/>
            </w:pPr>
            <w:r/>
            <w:r>
              <w:rPr>
                <w:sz w:val="17"/>
              </w:rPr>
              <w:t>—</w:t>
            </w:r>
          </w:p>
        </w:tc>
        <w:tc>
          <w:tcPr>
            <w:tcW w:type="dxa" w:w="804"/>
          </w:tcPr>
          <w:p>
            <w:pPr>
              <w:spacing w:after="40"/>
            </w:pPr>
            <w:r/>
            <w:r>
              <w:rPr>
                <w:sz w:val="17"/>
              </w:rPr>
              <w:t>S2</w:t>
            </w:r>
          </w:p>
        </w:tc>
        <w:tc>
          <w:tcPr>
            <w:tcW w:type="dxa" w:w="804"/>
          </w:tcPr>
          <w:p>
            <w:pPr>
              <w:spacing w:after="40"/>
            </w:pPr>
            <w:r/>
            <w:r>
              <w:rPr>
                <w:sz w:val="17"/>
              </w:rPr>
              <w:t>Data leak</w:t>
            </w:r>
          </w:p>
        </w:tc>
        <w:tc>
          <w:tcPr>
            <w:tcW w:type="dxa" w:w="804"/>
          </w:tcPr>
          <w:p>
            <w:pPr>
              <w:spacing w:after="40"/>
            </w:pPr>
            <w:r/>
            <w:r>
              <w:rPr>
                <w:sz w:val="17"/>
              </w:rPr>
              <w:t>[name]</w:t>
            </w:r>
          </w:p>
        </w:tc>
        <w:tc>
          <w:tcPr>
            <w:tcW w:type="dxa" w:w="804"/>
          </w:tcPr>
          <w:p>
            <w:pPr>
              <w:spacing w:after="40"/>
            </w:pPr>
            <w:r/>
            <w:r>
              <w:rPr>
                <w:sz w:val="17"/>
              </w:rPr>
              <w:t>[name]</w:t>
            </w:r>
          </w:p>
        </w:tc>
        <w:tc>
          <w:tcPr>
            <w:tcW w:type="dxa" w:w="804"/>
          </w:tcPr>
          <w:p>
            <w:pPr>
              <w:spacing w:after="40"/>
            </w:pPr>
            <w:r/>
            <w:r>
              <w:rPr>
                <w:sz w:val="17"/>
              </w:rPr>
              <w:t>Yes</w:t>
            </w:r>
          </w:p>
        </w:tc>
        <w:tc>
          <w:tcPr>
            <w:tcW w:type="dxa" w:w="804"/>
          </w:tcPr>
          <w:p>
            <w:pPr>
              <w:spacing w:after="40"/>
            </w:pPr>
            <w:r/>
            <w:r>
              <w:rPr>
                <w:sz w:val="17"/>
              </w:rPr>
              <w:t>Yes — DPA</w:t>
            </w:r>
          </w:p>
        </w:tc>
        <w:tc>
          <w:tcPr>
            <w:tcW w:type="dxa" w:w="804"/>
          </w:tcPr>
          <w:p>
            <w:pPr>
              <w:spacing w:after="40"/>
            </w:pPr>
            <w:r/>
            <w:r>
              <w:rPr>
                <w:sz w:val="17"/>
              </w:rPr>
              <w:t>Closed</w:t>
            </w:r>
          </w:p>
        </w:tc>
        <w:tc>
          <w:tcPr>
            <w:tcW w:type="dxa" w:w="804"/>
          </w:tcPr>
          <w:p>
            <w:pPr>
              <w:spacing w:after="40"/>
            </w:pPr>
            <w:r/>
            <w:r>
              <w:rPr>
                <w:sz w:val="17"/>
              </w:rPr>
              <w:t>[date]</w:t>
            </w:r>
          </w:p>
        </w:tc>
      </w:tr>
    </w:tbl>
    <w:p>
      <w:pPr>
        <w:spacing w:after="80"/>
      </w:pPr>
    </w:p>
    <w:p>
      <w:pPr>
        <w:spacing w:before="200" w:after="80"/>
      </w:pPr>
      <w:r>
        <w:rPr>
          <w:b/>
          <w:color w:val="3F51B5"/>
          <w:sz w:val="24"/>
        </w:rPr>
        <w:t>Incident types</w:t>
      </w:r>
    </w:p>
    <w:p>
      <w:pPr>
        <w:spacing w:after="120"/>
      </w:pPr>
      <w:r>
        <w:rPr>
          <w:i w:val="0"/>
          <w:sz w:val="21"/>
        </w:rPr>
        <w:t>Fairness / bias · Accuracy or drift · Data leak · Unauthorised use · Security (injection, poisoning, extraction) · Availability · Transparency failure · Oversight failure · Third-party / vendor · Regulatory</w:t>
      </w:r>
    </w:p>
    <w:p>
      <w:pPr>
        <w:spacing w:before="200" w:after="80"/>
      </w:pPr>
      <w:r>
        <w:rPr>
          <w:b/>
          <w:color w:val="3F51B5"/>
          <w:sz w:val="24"/>
        </w:rPr>
        <w:t>Record for each incident</w:t>
      </w:r>
    </w:p>
    <w:p>
      <w:pPr>
        <w:pStyle w:val="ListNumber"/>
        <w:spacing w:after="60"/>
      </w:pPr>
      <w:r>
        <w:rPr>
          <w:sz w:val="21"/>
        </w:rPr>
        <w:t>What happened — factual, no blame.</w:t>
      </w:r>
    </w:p>
    <w:p>
      <w:pPr>
        <w:pStyle w:val="ListNumber"/>
        <w:spacing w:after="60"/>
      </w:pPr>
      <w:r>
        <w:rPr>
          <w:sz w:val="21"/>
        </w:rPr>
        <w:t>When — occurred, detected, reported. The gap between occurred and detected is itself a finding.</w:t>
      </w:r>
    </w:p>
    <w:p>
      <w:pPr>
        <w:pStyle w:val="ListNumber"/>
        <w:spacing w:after="60"/>
      </w:pPr>
      <w:r>
        <w:rPr>
          <w:sz w:val="21"/>
        </w:rPr>
        <w:t>Impact — who and what was affected, how many people.</w:t>
      </w:r>
    </w:p>
    <w:p>
      <w:pPr>
        <w:pStyle w:val="ListNumber"/>
        <w:spacing w:after="60"/>
      </w:pPr>
      <w:r>
        <w:rPr>
          <w:sz w:val="21"/>
        </w:rPr>
        <w:t>Immediate action — including whether the system was suspended.</w:t>
      </w:r>
    </w:p>
    <w:p>
      <w:pPr>
        <w:pStyle w:val="ListNumber"/>
        <w:spacing w:after="60"/>
      </w:pPr>
      <w:r>
        <w:rPr>
          <w:sz w:val="21"/>
        </w:rPr>
        <w:t>Root cause — the real one, not the proximate one.</w:t>
      </w:r>
    </w:p>
    <w:p>
      <w:pPr>
        <w:pStyle w:val="ListNumber"/>
        <w:spacing w:after="60"/>
      </w:pPr>
      <w:r>
        <w:rPr>
          <w:sz w:val="21"/>
        </w:rPr>
        <w:t>Reportability assessment — with the reasoning and the date decided.</w:t>
      </w:r>
    </w:p>
    <w:p>
      <w:pPr>
        <w:pStyle w:val="ListNumber"/>
        <w:spacing w:after="60"/>
      </w:pPr>
      <w:r>
        <w:rPr>
          <w:sz w:val="21"/>
        </w:rPr>
        <w:t>Remediation — actions, owners, dates.</w:t>
      </w:r>
    </w:p>
    <w:p>
      <w:pPr>
        <w:pStyle w:val="ListNumber"/>
        <w:spacing w:after="60"/>
      </w:pPr>
      <w:r>
        <w:rPr>
          <w:sz w:val="21"/>
        </w:rPr>
        <w:t>Lessons — what changed so it does not recur.</w:t>
      </w:r>
    </w:p>
    <w:p>
      <w:pPr>
        <w:spacing w:before="200" w:after="80"/>
      </w:pPr>
      <w:r>
        <w:rPr>
          <w:b/>
          <w:color w:val="3F51B5"/>
          <w:sz w:val="24"/>
        </w:rPr>
        <w:t>Post-incident review</w:t>
      </w:r>
    </w:p>
    <w:p>
      <w:pPr>
        <w:spacing w:after="120"/>
      </w:pPr>
      <w:r>
        <w:rPr>
          <w:i w:val="0"/>
          <w:sz w:val="21"/>
        </w:rPr>
        <w:t>For S1 and S2, hold a blameless review within Within 10 working days for S1 and S2 (unless: Within 5 working days if the incident is still open or a regulator has been notified — the facts fade fast and you may need them.) Ask:</w:t>
      </w:r>
    </w:p>
    <w:p>
      <w:pPr>
        <w:pStyle w:val="ListBullet"/>
        <w:spacing w:after="60"/>
      </w:pPr>
      <w:r>
        <w:rPr>
          <w:sz w:val="21"/>
        </w:rPr>
        <w:t>Could we have prevented it? Which control failed or was missing?</w:t>
      </w:r>
    </w:p>
    <w:p>
      <w:pPr>
        <w:pStyle w:val="ListBullet"/>
        <w:spacing w:after="60"/>
      </w:pPr>
      <w:r>
        <w:rPr>
          <w:sz w:val="21"/>
        </w:rPr>
        <w:t>Could we have detected it sooner?</w:t>
      </w:r>
    </w:p>
    <w:p>
      <w:pPr>
        <w:pStyle w:val="ListBullet"/>
        <w:spacing w:after="60"/>
      </w:pPr>
      <w:r>
        <w:rPr>
          <w:sz w:val="21"/>
        </w:rPr>
        <w:t>Did the escalation path work as written?</w:t>
      </w:r>
    </w:p>
    <w:p>
      <w:pPr>
        <w:pStyle w:val="ListBullet"/>
        <w:spacing w:after="60"/>
      </w:pPr>
      <w:r>
        <w:rPr>
          <w:sz w:val="21"/>
        </w:rPr>
        <w:t>What changes in policy, control, or design follow?</w:t>
      </w:r>
    </w:p>
    <w:p>
      <w:pPr>
        <w:pStyle w:val="ListBullet"/>
        <w:spacing w:after="60"/>
      </w:pPr>
      <w:r>
        <w:rPr>
          <w:sz w:val="21"/>
        </w:rPr>
        <w:t>Does anything here change the Risk Register?</w:t>
      </w:r>
    </w:p>
    <w:p>
      <w:pPr>
        <w:spacing w:before="200" w:after="80"/>
      </w:pPr>
      <w:r>
        <w:rPr>
          <w:b/>
          <w:color w:val="3F51B5"/>
          <w:sz w:val="24"/>
        </w:rPr>
        <w:t>Trends</w:t>
      </w:r>
    </w:p>
    <w:p>
      <w:pPr>
        <w:spacing w:after="120"/>
      </w:pPr>
      <w:r>
        <w:rPr>
          <w:i w:val="0"/>
          <w:sz w:val="21"/>
        </w:rPr>
        <w:t>Review quarterly for pattern: repeat causes, systems appearing often, and detection times getting longer. Report to committee via Kpi Dashboard.</w:t>
      </w:r>
    </w:p>
    <w:p>
      <w:pPr>
        <w:spacing w:before="280" w:after="80"/>
      </w:pPr>
      <w:r>
        <w:rPr>
          <w:b/>
          <w:color w:val="3F51B5"/>
          <w:sz w:val="28"/>
        </w:rPr>
        <w:t>Adaptation notes</w:t>
      </w:r>
    </w:p>
    <w:p>
      <w:pPr>
        <w:pStyle w:val="ListBullet"/>
        <w:spacing w:after="80"/>
      </w:pPr>
      <w:r>
        <w:rPr>
          <w:b/>
          <w:sz w:val="21"/>
        </w:rPr>
        <w:t xml:space="preserve">Small organisations: </w:t>
      </w:r>
      <w:r>
        <w:rPr>
          <w:sz w:val="21"/>
        </w:rPr>
        <w:t>Use your existing incident process and add the AI-specific fields — system, reportability, personal data. A separate AI process will not be remembered under pressure.</w:t>
      </w:r>
    </w:p>
    <w:p>
      <w:pPr>
        <w:pStyle w:val="ListBullet"/>
        <w:spacing w:after="80"/>
      </w:pPr>
      <w:r>
        <w:rPr>
          <w:b/>
          <w:sz w:val="21"/>
        </w:rPr>
        <w:t xml:space="preserve">Regulated sectors: </w:t>
      </w:r>
      <w:r>
        <w:rPr>
          <w:sz w:val="21"/>
        </w:rPr>
        <w:t>Map severity to your existing operational incident taxonomy and regulatory reporting triggers, so one incident does not get two incompatible severities.</w:t>
      </w:r>
    </w:p>
    <w:p>
      <w:pPr>
        <w:pStyle w:val="ListBullet"/>
        <w:spacing w:after="80"/>
      </w:pPr>
      <w:r>
        <w:rPr>
          <w:b/>
          <w:sz w:val="21"/>
        </w:rPr>
        <w:t xml:space="preserve">Consumer-facing services: </w:t>
      </w:r>
      <w:r>
        <w:rPr>
          <w:sz w:val="21"/>
        </w:rPr>
        <w:t>Add a customer communication field: what was said, by whom, and when. It is usually the part that gets scrutinised afterwards.</w:t>
      </w:r>
    </w:p>
    <w:p/>
    <w:p>
      <w:pPr>
        <w:spacing w:before="200"/>
      </w:pPr>
      <w:r>
        <w:rPr>
          <w:i/>
          <w:color w:val="606060"/>
          <w:sz w:val="17"/>
        </w:rPr>
        <w:t>Not legal advice. This template is a head start, not a substitute for professional judgement. Adapt it to your jurisdiction, sector, and risk appetite, and have qualified counsel review anything material before you rely on it.</w:t>
      </w:r>
    </w:p>
    <w:sectPr w:rsidR="00FC693F" w:rsidRPr="0006063C" w:rsidSect="00034616"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