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Governance Charter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A short, board-approved mandate that establishes the governance programme: why it exists, what authority it has, what it covers, and how success is measured. It is what you point to when someone asks "who says so?".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Write it at the start of the programme and have it formally approved. Refresh when scope, sponsorship, or mandate changes.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Keep it to two pages. The charter grants authority; it does not describe process. If you find yourself writing procedure, that belongs in the frameworks or the committee terms of reference instead.</w:t>
      </w:r>
    </w:p>
    <w:p/>
    <w:p>
      <w:pPr>
        <w:spacing w:before="200" w:after="80"/>
      </w:pPr>
      <w:r>
        <w:rPr>
          <w:b/>
          <w:color w:val="3F51B5"/>
          <w:sz w:val="24"/>
        </w:rPr>
        <w:t>1. Mandate</w:t>
      </w:r>
    </w:p>
    <w:p>
      <w:pPr>
        <w:spacing w:after="120"/>
      </w:pPr>
      <w:r>
        <w:rPr>
          <w:i w:val="0"/>
          <w:sz w:val="21"/>
        </w:rPr>
        <w:t>The [Data &amp; AI Governance Programme] is established by [the Board / Executive Committee] on [date] to ensure that [Organisation] manages its data and AI assets lawfully, safely, and in line with its stated risk appetite.</w:t>
      </w:r>
    </w:p>
    <w:p>
      <w:pPr>
        <w:spacing w:before="200" w:after="80"/>
      </w:pPr>
      <w:r>
        <w:rPr>
          <w:b/>
          <w:color w:val="3F51B5"/>
          <w:sz w:val="24"/>
        </w:rPr>
        <w:t>2. Why this exists</w:t>
      </w:r>
    </w:p>
    <w:p>
      <w:pPr>
        <w:spacing w:after="120"/>
      </w:pPr>
      <w:r>
        <w:rPr>
          <w:i w:val="0"/>
          <w:sz w:val="21"/>
        </w:rPr>
        <w:t>[Two or three sentences: the specific driver. Regulatory exposure, a board concern, an incident, an AI adoption push. Be concrete — a charter that could belong to any organisation will be ignored by this one.]</w:t>
      </w:r>
    </w:p>
    <w:p>
      <w:pPr>
        <w:spacing w:before="200" w:after="80"/>
      </w:pPr>
      <w:r>
        <w:rPr>
          <w:b/>
          <w:color w:val="3F51B5"/>
          <w:sz w:val="24"/>
        </w:rPr>
        <w:t>3. Scope</w:t>
      </w:r>
    </w:p>
    <w:p>
      <w:pPr>
        <w:spacing w:after="120"/>
      </w:pPr>
      <w:r>
        <w:rPr>
          <w:i w:val="0"/>
          <w:sz w:val="21"/>
        </w:rPr>
        <w:t>In scope: all data held or processed by the organisation; all AI systems built, bought, or embedded; all business units and geographies [amend].</w:t>
      </w:r>
    </w:p>
    <w:p>
      <w:pPr>
        <w:spacing w:after="120"/>
      </w:pPr>
      <w:r>
        <w:rPr>
          <w:i w:val="0"/>
          <w:sz w:val="21"/>
        </w:rPr>
        <w:t>Out of scope: [be explicit — e.g. security operations, covered by the existing security programme].</w:t>
      </w:r>
    </w:p>
    <w:p>
      <w:pPr>
        <w:spacing w:before="200" w:after="80"/>
      </w:pPr>
      <w:r>
        <w:rPr>
          <w:b/>
          <w:color w:val="3F51B5"/>
          <w:sz w:val="24"/>
        </w:rPr>
        <w:t>4. Authority</w:t>
      </w:r>
    </w:p>
    <w:p>
      <w:pPr>
        <w:spacing w:after="120"/>
      </w:pPr>
      <w:r>
        <w:rPr>
          <w:i w:val="0"/>
          <w:sz w:val="21"/>
        </w:rPr>
        <w:t>The programme, through its committee, is authorised to:</w:t>
      </w:r>
    </w:p>
    <w:p>
      <w:pPr>
        <w:pStyle w:val="ListBullet"/>
        <w:spacing w:after="60"/>
      </w:pPr>
      <w:r>
        <w:rPr>
          <w:sz w:val="21"/>
        </w:rPr>
        <w:t>Set mandatory standards for data and AI within scope.</w:t>
      </w:r>
    </w:p>
    <w:p>
      <w:pPr>
        <w:pStyle w:val="ListBullet"/>
        <w:spacing w:after="60"/>
      </w:pPr>
      <w:r>
        <w:rPr>
          <w:sz w:val="21"/>
        </w:rPr>
        <w:t>Require registration and classification of any AI system.</w:t>
      </w:r>
    </w:p>
    <w:p>
      <w:pPr>
        <w:pStyle w:val="ListBullet"/>
        <w:spacing w:after="60"/>
      </w:pPr>
      <w:r>
        <w:rPr>
          <w:sz w:val="21"/>
        </w:rPr>
        <w:t>Halt or require remediation of a system presenting unacceptable risk.</w:t>
      </w:r>
    </w:p>
    <w:p>
      <w:pPr>
        <w:pStyle w:val="ListBullet"/>
        <w:spacing w:after="60"/>
      </w:pPr>
      <w:r>
        <w:rPr>
          <w:sz w:val="21"/>
        </w:rPr>
        <w:t>Require evidence of compliance from any team or vendor.</w:t>
      </w:r>
    </w:p>
    <w:p>
      <w:pPr>
        <w:pStyle w:val="ListBullet"/>
        <w:spacing w:after="60"/>
      </w:pPr>
      <w:r>
        <w:rPr>
          <w:sz w:val="21"/>
        </w:rPr>
        <w:t>Escalate unresolved matters directly to [the Board / Audit &amp; Risk].</w:t>
      </w:r>
    </w:p>
    <w:p>
      <w:pPr>
        <w:spacing w:before="160" w:after="80"/>
      </w:pPr>
      <w:r>
        <w:rPr>
          <w:b/>
          <w:color w:val="3F51B5"/>
          <w:sz w:val="20"/>
        </w:rPr>
        <w:t>The halt right matters</w:t>
      </w:r>
    </w:p>
    <w:p>
      <w:pPr>
        <w:spacing w:after="120"/>
      </w:pPr>
      <w:r>
        <w:rPr>
          <w:i/>
          <w:color w:val="606060"/>
          <w:sz w:val="20"/>
        </w:rPr>
        <w:t>A programme that cannot stop anything is advisory. If the authority to halt is not granted here, expect controls to be optional in practice.</w:t>
      </w:r>
    </w:p>
    <w:p>
      <w:pPr>
        <w:spacing w:before="200" w:after="80"/>
      </w:pPr>
      <w:r>
        <w:rPr>
          <w:b/>
          <w:color w:val="3F51B5"/>
          <w:sz w:val="24"/>
        </w:rPr>
        <w:t>5. Sponsorship &amp; accountability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Role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Holder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Accountability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Executive Sponsor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Board-level accountability; resourcing.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Programme Owner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Delivery of the programme.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Committee Chair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Decision-making forum.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6. Objectives &amp;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Objective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Measure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By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Complete AI inventory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% systems registered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Risk classification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% classified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Policy adoption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% staff attested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90%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Board visibility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Reports delivered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Four (unless: Add an extraordinary report after any S1 incident or regulatory contact, rather than waiting for the next scheduled one.) per year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Ongoing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7. Resourcing</w:t>
      </w:r>
    </w:p>
    <w:p>
      <w:pPr>
        <w:spacing w:after="120"/>
      </w:pPr>
      <w:r>
        <w:rPr>
          <w:i w:val="0"/>
          <w:sz w:val="21"/>
        </w:rPr>
        <w:t>[Named roles and FTE commitment. A charter without resourcing is a statement of intent, not a mandate.]</w:t>
      </w:r>
    </w:p>
    <w:p>
      <w:pPr>
        <w:spacing w:before="200" w:after="80"/>
      </w:pPr>
      <w:r>
        <w:rPr>
          <w:b/>
          <w:color w:val="3F51B5"/>
          <w:sz w:val="24"/>
        </w:rPr>
        <w:t>8. Review &amp; approval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Version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Approved by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1.0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[board / exco]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One page is enough. The essential clauses are authority (section 4) and named sponsorship (section 5) — the rest can be inherited from the frameworks.</w:t>
      </w:r>
    </w:p>
    <w:p>
      <w:pPr>
        <w:pStyle w:val="ListBullet"/>
        <w:spacing w:after="80"/>
      </w:pPr>
      <w:r>
        <w:rPr>
          <w:b/>
          <w:sz w:val="21"/>
        </w:rPr>
        <w:t xml:space="preserve">Group structures: </w:t>
      </w:r>
      <w:r>
        <w:rPr>
          <w:sz w:val="21"/>
        </w:rPr>
        <w:t>State clearly whether the charter binds subsidiaries directly or requires local adoption. Ambiguity here surfaces during the first cross-entity incident, at the worst possible moment.</w:t>
      </w:r>
    </w:p>
    <w:p>
      <w:pPr>
        <w:pStyle w:val="ListBullet"/>
        <w:spacing w:after="80"/>
      </w:pPr>
      <w:r>
        <w:rPr>
          <w:b/>
          <w:sz w:val="21"/>
        </w:rPr>
        <w:t xml:space="preserve">Public sector: </w:t>
      </w:r>
      <w:r>
        <w:rPr>
          <w:sz w:val="21"/>
        </w:rPr>
        <w:t>Reference the statutory basis for the mandate and any duties owed to citizens; add a public transparency objective to section 6.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