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Decision Rights &amp; Escalation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States who can decide what, at what threshold, and what happens when people disagree or a decision is needed urgently. It is the document that stops governance stalling.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With the operating model. Test it after the first real escalation, and again after the first urgent out-of-hours decision.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Set thresholds in concrete terms — money, number of people affected, data classification — not adjectives like "significant". Then walk a real past decision through it and see whether the answer it gives matches what actually happened.</w:t>
      </w:r>
    </w:p>
    <w:p/>
    <w:p>
      <w:pPr>
        <w:spacing w:before="200" w:after="80"/>
      </w:pPr>
      <w:r>
        <w:rPr>
          <w:b/>
          <w:color w:val="3F51B5"/>
          <w:sz w:val="24"/>
        </w:rPr>
        <w:t>1. Decision authority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Decision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Authority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Consult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Escalate if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Deploy a minimal-risk AI system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Accountable Owner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 Lead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Classification is disputed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Deploy a limited-risk AI system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 Lead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Legal, Security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Customer-facing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Deploy a high-risk AI system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Committee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Legal, Security, Audit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Board threshold met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Approve a prohibited-practice exception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Not available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Prohibited means prohibited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Use personal data for training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Data Owner + DPO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 Lead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Special category data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Accept residual risk — low / medium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Accountable Owner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 Lead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Accept residual risk — high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Committee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Legal, Security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 residual rating of 10 or above on a 5x5 scale (High and Critical) (unless: Align to your enterprise risk framework's own escalation point if you have one, so the same risk does not get two different treatments.)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Accept residual risk — critical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Board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Committee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Approve a new AI vendor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 Lead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Security, Legal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Critical tier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Policy exception ≤ 90 days (unless: 30 days where the exception touches a high-risk system or personal data. Never grant one without an expiry date.)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 Lead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Owner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Repeat request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Policy exception &gt; 90 days (unless: 30 days where the exception touches a high-risk system or personal data. Never grant one without an expiry date.)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Committee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Legal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Suspend a live AI system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AI Owner, Gov Lead, or Security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Notify Committee within 24 hours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Always report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Suspension must be fast and blameless</w:t>
      </w:r>
    </w:p>
    <w:p>
      <w:pPr>
        <w:spacing w:after="120"/>
      </w:pPr>
      <w:r>
        <w:rPr>
          <w:i/>
          <w:color w:val="606060"/>
          <w:sz w:val="20"/>
        </w:rPr>
        <w:t>Any of three roles can stop a system, and none of them needs permission first. If stopping a system requires a committee meeting, it will not happen in time. Notification comes after the stop, never before.</w:t>
      </w:r>
    </w:p>
    <w:p>
      <w:pPr>
        <w:spacing w:before="200" w:after="80"/>
      </w:pPr>
      <w:r>
        <w:rPr>
          <w:b/>
          <w:color w:val="3F51B5"/>
          <w:sz w:val="24"/>
        </w:rPr>
        <w:t>2. Escalation thresholds</w:t>
      </w:r>
    </w:p>
    <w:p>
      <w:pPr>
        <w:spacing w:after="120"/>
      </w:pPr>
      <w:r>
        <w:rPr>
          <w:i w:val="0"/>
          <w:sz w:val="21"/>
        </w:rPr>
        <w:t>Escalate to the Committee when any is true:</w:t>
      </w:r>
    </w:p>
    <w:p>
      <w:pPr>
        <w:pStyle w:val="ListBullet"/>
        <w:spacing w:after="60"/>
      </w:pPr>
      <w:r>
        <w:rPr>
          <w:sz w:val="21"/>
        </w:rPr>
        <w:t>Risk is rated high or above after mitigation.</w:t>
      </w:r>
    </w:p>
    <w:p>
      <w:pPr>
        <w:pStyle w:val="ListBullet"/>
        <w:spacing w:after="60"/>
      </w:pPr>
      <w:r>
        <w:rPr>
          <w:sz w:val="21"/>
        </w:rPr>
        <w:t>Personal data of 10,000 people, or any amount of special category data (unless: Lower it to match your own breach-notification threshold if you already have one — running two different numbers guarantees the wrong one gets used.)</w:t>
      </w:r>
    </w:p>
    <w:p>
      <w:pPr>
        <w:pStyle w:val="ListBullet"/>
        <w:spacing w:after="60"/>
      </w:pPr>
      <w:r>
        <w:rPr>
          <w:sz w:val="21"/>
        </w:rPr>
        <w:t>The system makes or materially informs decisions about individuals.</w:t>
      </w:r>
    </w:p>
    <w:p>
      <w:pPr>
        <w:pStyle w:val="ListBullet"/>
        <w:spacing w:after="60"/>
      </w:pPr>
      <w:r>
        <w:rPr>
          <w:sz w:val="21"/>
        </w:rPr>
        <w:t>Two functions disagree and cannot resolve it within Five working days (unless: Ten days where the tool will process personal data and needs a DPIA.).</w:t>
      </w:r>
    </w:p>
    <w:p>
      <w:pPr>
        <w:pStyle w:val="ListBullet"/>
        <w:spacing w:after="60"/>
      </w:pPr>
      <w:r>
        <w:rPr>
          <w:sz w:val="21"/>
        </w:rPr>
        <w:t>An exception is requested for the second time.</w:t>
      </w:r>
    </w:p>
    <w:p>
      <w:pPr>
        <w:spacing w:after="120"/>
      </w:pPr>
      <w:r>
        <w:rPr>
          <w:i w:val="0"/>
          <w:sz w:val="21"/>
        </w:rPr>
        <w:t>Escalate to the Board when any is true:</w:t>
      </w:r>
    </w:p>
    <w:p>
      <w:pPr>
        <w:pStyle w:val="ListBullet"/>
        <w:spacing w:after="60"/>
      </w:pPr>
      <w:r>
        <w:rPr>
          <w:sz w:val="21"/>
        </w:rPr>
        <w:t>Residual risk is critical.</w:t>
      </w:r>
    </w:p>
    <w:p>
      <w:pPr>
        <w:pStyle w:val="ListBullet"/>
        <w:spacing w:after="60"/>
      </w:pPr>
      <w:r>
        <w:rPr>
          <w:sz w:val="21"/>
        </w:rPr>
        <w:t>Regulatory notification is likely or required.</w:t>
      </w:r>
    </w:p>
    <w:p>
      <w:pPr>
        <w:pStyle w:val="ListBullet"/>
        <w:spacing w:after="60"/>
      </w:pPr>
      <w:r>
        <w:rPr>
          <w:sz w:val="21"/>
        </w:rPr>
        <w:t>Potential impact exceeds [£X] or affects [X] customers.</w:t>
      </w:r>
    </w:p>
    <w:p>
      <w:pPr>
        <w:pStyle w:val="ListBullet"/>
        <w:spacing w:after="60"/>
      </w:pPr>
      <w:r>
        <w:rPr>
          <w:sz w:val="21"/>
        </w:rPr>
        <w:t>Reputational exposure is material.</w:t>
      </w:r>
    </w:p>
    <w:p>
      <w:pPr>
        <w:spacing w:before="200" w:after="80"/>
      </w:pPr>
      <w:r>
        <w:rPr>
          <w:b/>
          <w:color w:val="3F51B5"/>
          <w:sz w:val="24"/>
        </w:rPr>
        <w:t>3. Disagreement</w:t>
      </w:r>
    </w:p>
    <w:p>
      <w:pPr>
        <w:pStyle w:val="ListNumber"/>
        <w:spacing w:after="60"/>
      </w:pPr>
      <w:r>
        <w:rPr>
          <w:sz w:val="21"/>
        </w:rPr>
        <w:t>Resolve locally — the two parties, within 5 working days.</w:t>
      </w:r>
    </w:p>
    <w:p>
      <w:pPr>
        <w:pStyle w:val="ListNumber"/>
        <w:spacing w:after="60"/>
      </w:pPr>
      <w:r>
        <w:rPr>
          <w:sz w:val="21"/>
        </w:rPr>
        <w:t>Governance Lead facilitates — within 5 further days.</w:t>
      </w:r>
    </w:p>
    <w:p>
      <w:pPr>
        <w:pStyle w:val="ListNumber"/>
        <w:spacing w:after="60"/>
      </w:pPr>
      <w:r>
        <w:rPr>
          <w:sz w:val="21"/>
        </w:rPr>
        <w:t>Committee decides — at the next meeting, or by written procedure.</w:t>
      </w:r>
    </w:p>
    <w:p>
      <w:pPr>
        <w:pStyle w:val="ListNumber"/>
        <w:spacing w:after="60"/>
      </w:pPr>
      <w:r>
        <w:rPr>
          <w:sz w:val="21"/>
        </w:rPr>
        <w:t>Board — where the committee cannot agree or the threshold is met.</w:t>
      </w:r>
    </w:p>
    <w:p>
      <w:pPr>
        <w:spacing w:after="120"/>
      </w:pPr>
      <w:r>
        <w:rPr>
          <w:i w:val="0"/>
          <w:sz w:val="21"/>
        </w:rPr>
        <w:t>The dissenting position is recorded in the minutes by name. People are far more willing to raise concerns when disagreement is documented rather than absorbed.</w:t>
      </w:r>
    </w:p>
    <w:p>
      <w:pPr>
        <w:spacing w:before="200" w:after="80"/>
      </w:pPr>
      <w:r>
        <w:rPr>
          <w:b/>
          <w:color w:val="3F51B5"/>
          <w:sz w:val="24"/>
        </w:rPr>
        <w:t>4. Urgent decisions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Situation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Who can act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Ratification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Live incident, harm occurring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Any of AI Owner / Gov Lead / Security — act first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Within 48 hours (unless: Next working day if the decision suspended a live customer-facing system.)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Regulatory deadline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Gov Lead + Legal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Next meeting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Out of hours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[on-call role]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Next working day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5. Recording</w:t>
      </w:r>
    </w:p>
    <w:p>
      <w:pPr>
        <w:spacing w:after="120"/>
      </w:pPr>
      <w:r>
        <w:rPr>
          <w:i w:val="0"/>
          <w:sz w:val="21"/>
        </w:rPr>
        <w:t>Every decision at committee level or above records: decision, date, who decided, rationale, dissent, and review date. This is the evidence trail a regulator asks for.</w:t>
      </w:r>
    </w:p>
    <w:p>
      <w:pPr>
        <w:spacing w:before="200" w:after="80"/>
      </w:pPr>
      <w:r>
        <w:rPr>
          <w:b/>
          <w:color w:val="3F51B5"/>
          <w:sz w:val="24"/>
        </w:rPr>
        <w:t>6. Review</w:t>
      </w:r>
    </w:p>
    <w:p>
      <w:pPr>
        <w:spacing w:after="120"/>
      </w:pPr>
      <w:r>
        <w:rPr>
          <w:i w:val="0"/>
          <w:sz w:val="21"/>
        </w:rPr>
        <w:t>Test annually against real decisions taken. If people routinely go around the matrix, the matrix is wrong — fix the matrix, not the people.</w:t>
      </w: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Two levels are enough — an operational decision-maker and an escalation point. Keep the suspension right distributed regardless of size.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Align thresholds with existing risk acceptance limits so you do not run two incompatible sets of numbers.</w:t>
      </w:r>
    </w:p>
    <w:p>
      <w:pPr>
        <w:pStyle w:val="ListBullet"/>
        <w:spacing w:after="80"/>
      </w:pPr>
      <w:r>
        <w:rPr>
          <w:b/>
          <w:sz w:val="21"/>
        </w:rPr>
        <w:t xml:space="preserve">Fast-moving product teams: </w:t>
      </w:r>
      <w:r>
        <w:rPr>
          <w:sz w:val="21"/>
        </w:rPr>
        <w:t>Set generous authority at the minimal and limited tiers so governance is not the bottleneck, and spend the control effort on high-risk instead.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