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Data Quality Standard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Defines what "good enough" data means in measurable terms — the dimensions, how they are measured, the thresholds that apply, and who acts when a threshold is breached.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Alongside the data governance policy, and specifically before any dataset is used to train or evaluate a model. Review thresholds annually.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Do not attempt all six dimensions across the whole estate at once. Pick your two or three highest-value domains, set thresholds, and measure those until the process is real — then extend. A standard measured nowhere is worse than no standard, because it implies assurance you do not have.</w:t>
      </w:r>
    </w:p>
    <w:p/>
    <w:p>
      <w:pPr>
        <w:spacing w:before="200" w:after="80"/>
      </w:pPr>
      <w:r>
        <w:rPr>
          <w:b/>
          <w:color w:val="3F51B5"/>
          <w:sz w:val="24"/>
        </w:rPr>
        <w:t>1. Quality dimensions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Dimension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Question it answers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Example measure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Completeness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Is the expected data present?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% of mandatory fields populated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Accuracy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Does it reflect the real world?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% matching a verified source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Timeliness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Is it current enough to use?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Age at point of use vs. requirement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Consistency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Does it agree across systems?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% of records matching across systems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Validity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Does it conform to its rules?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% passing format / range rules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Uniqueness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Are there duplicates?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% duplicate records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2. Thresholds</w:t>
      </w:r>
    </w:p>
    <w:p>
      <w:pPr>
        <w:spacing w:after="120"/>
      </w:pPr>
      <w:r>
        <w:rPr>
          <w:i w:val="0"/>
          <w:sz w:val="21"/>
        </w:rPr>
        <w:t>Thresholds are set per domain by the Data Owner, based on use. Data feeding a regulatory return or a high-risk AI system needs tighter thresholds than data feeding an internal dashboard.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Domain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Dimension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Threshold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Measure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Frequency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Customer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Completeness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≥ 98%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[rule]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Daily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[role]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Customer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Uniqueness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≥ 99%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[rule]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Weekly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[role]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[domain]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[dimension]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3. Quality for AI training data</w:t>
      </w:r>
    </w:p>
    <w:p>
      <w:pPr>
        <w:spacing w:after="120"/>
      </w:pPr>
      <w:r>
        <w:rPr>
          <w:i w:val="0"/>
          <w:sz w:val="21"/>
        </w:rPr>
        <w:t>Additional requirements where data trains, validates, or tests a model — this is the Art. 10 obligation in practice: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Requirement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What it means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Evidence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Relevance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The data suits the stated purpose.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Documented rationale in the Model Card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Representativeness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It reflects the population the system will act on.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Distribution analysis vs. target population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Bias examination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Known skews are identified and addressed.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Bias assessment; mitigation record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Provenance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Source and licence are known and lawful.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Entry in Data Asset Register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Split integrity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Train/validation/test do not leak into each other.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Split methodology documented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Representativeness is not a percentage</w:t>
      </w:r>
    </w:p>
    <w:p>
      <w:pPr>
        <w:spacing w:after="120"/>
      </w:pPr>
      <w:r>
        <w:rPr>
          <w:i/>
          <w:color w:val="606060"/>
          <w:sz w:val="20"/>
        </w:rPr>
        <w:t>A dataset can be 99% complete and still unrepresentative of the people the system will affect. Completeness measures the data you collected; representativeness asks who is missing from it entirely.</w:t>
      </w:r>
    </w:p>
    <w:p>
      <w:pPr>
        <w:spacing w:before="200" w:after="80"/>
      </w:pPr>
      <w:r>
        <w:rPr>
          <w:b/>
          <w:color w:val="3F51B5"/>
          <w:sz w:val="24"/>
        </w:rPr>
        <w:t>4. Measurement &amp; reporting</w:t>
      </w:r>
    </w:p>
    <w:p>
      <w:pPr>
        <w:spacing w:after="120"/>
      </w:pPr>
      <w:r>
        <w:rPr>
          <w:i w:val="0"/>
          <w:sz w:val="21"/>
        </w:rPr>
        <w:t>Scores are produced monthly (weekly for data feeding a high-risk system), published to [location], and summarised in Kpi Dashboard. Trend matters more than absolute level.</w:t>
      </w:r>
    </w:p>
    <w:p>
      <w:pPr>
        <w:spacing w:before="200" w:after="80"/>
      </w:pPr>
      <w:r>
        <w:rPr>
          <w:b/>
          <w:color w:val="3F51B5"/>
          <w:sz w:val="24"/>
        </w:rPr>
        <w:t>5. Breach handling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Severity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Definition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Response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Timeframe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Critical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Regulatory or high-risk AI impact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Escalate to committee; consider suspending use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24 hours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Major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Material business impact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Owner-led remediation plan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5 working days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Minor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Limited impact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Backlog for next cycle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30 days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Breaches are recorded in the Incident Log.</w:t>
      </w:r>
    </w:p>
    <w:p>
      <w:pPr>
        <w:spacing w:before="200" w:after="80"/>
      </w:pPr>
      <w:r>
        <w:rPr>
          <w:b/>
          <w:color w:val="3F51B5"/>
          <w:sz w:val="24"/>
        </w:rPr>
        <w:t>6.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Version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Approved by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0.1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[role]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[committee]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Measure completeness and validity only, on your two most important domains. That covers most real-world failures at a fraction of the cost.</w:t>
      </w:r>
    </w:p>
    <w:p>
      <w:pPr>
        <w:pStyle w:val="ListBullet"/>
        <w:spacing w:after="80"/>
      </w:pPr>
      <w:r>
        <w:rPr>
          <w:b/>
          <w:sz w:val="21"/>
        </w:rPr>
        <w:t xml:space="preserve">Regulated financial services: </w:t>
      </w:r>
      <w:r>
        <w:rPr>
          <w:sz w:val="21"/>
        </w:rPr>
        <w:t>Align with BCBS 239 and make lineage evidence explicit — supervisors ask to trace a reported figure back to source.</w:t>
      </w:r>
    </w:p>
    <w:p>
      <w:pPr>
        <w:pStyle w:val="ListBullet"/>
        <w:spacing w:after="80"/>
      </w:pPr>
      <w:r>
        <w:rPr>
          <w:b/>
          <w:sz w:val="21"/>
        </w:rPr>
        <w:t xml:space="preserve">ML-heavy organisations: </w:t>
      </w:r>
      <w:r>
        <w:rPr>
          <w:sz w:val="21"/>
        </w:rPr>
        <w:t>Section 3 is the section that matters. Automate representativeness and drift checks into the training pipeline so the evidence is a by-product rather than a project.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