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Data Governance Policy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The mandatory rules for handling data. Where the framework explains how governance works, this policy states what people must and must not do, in language you can hold someone to.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Adopt alongside the data governance framework. Review annually, and reissue with attestation whenever the obligations change materially.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Write every statement so a breach is observable — "must be registered before first use" can be checked, "should be managed appropriately" cannot. Number the statements so audit findings and exceptions can cite them precisely.</w:t>
      </w:r>
    </w:p>
    <w:p/>
    <w:p>
      <w:pPr>
        <w:spacing w:before="200" w:after="80"/>
      </w:pPr>
      <w:r>
        <w:rPr>
          <w:b/>
          <w:color w:val="3F51B5"/>
          <w:sz w:val="24"/>
        </w:rPr>
        <w:t>1. Purpose</w:t>
      </w:r>
    </w:p>
    <w:p>
      <w:pPr>
        <w:spacing w:after="120"/>
      </w:pPr>
      <w:r>
        <w:rPr>
          <w:i w:val="0"/>
          <w:sz w:val="21"/>
        </w:rPr>
        <w:t>This policy sets the mandatory requirements for the management of data at</w:t>
      </w:r>
    </w:p>
    <w:p>
      <w:pPr>
        <w:spacing w:after="120"/>
      </w:pPr>
      <w:r>
        <w:rPr>
          <w:i w:val="0"/>
          <w:sz w:val="21"/>
        </w:rPr>
        <w:t>[Organisation]. It gives effect to Data Governance Framework.</w:t>
      </w:r>
    </w:p>
    <w:p>
      <w:pPr>
        <w:spacing w:before="200" w:after="80"/>
      </w:pPr>
      <w:r>
        <w:rPr>
          <w:b/>
          <w:color w:val="3F51B5"/>
          <w:sz w:val="24"/>
        </w:rPr>
        <w:t>2. Scope</w:t>
      </w:r>
    </w:p>
    <w:p>
      <w:pPr>
        <w:spacing w:after="120"/>
      </w:pPr>
      <w:r>
        <w:rPr>
          <w:i w:val="0"/>
          <w:sz w:val="21"/>
        </w:rPr>
        <w:t>Applies to all staff, contractors, and third parties processing data on behalf of the organisation, in all systems and locations.</w:t>
      </w:r>
    </w:p>
    <w:p>
      <w:pPr>
        <w:spacing w:before="200" w:after="80"/>
      </w:pPr>
      <w:r>
        <w:rPr>
          <w:b/>
          <w:color w:val="3F51B5"/>
          <w:sz w:val="24"/>
        </w:rPr>
        <w:t>3. Policy statements</w:t>
      </w:r>
    </w:p>
    <w:p>
      <w:pPr>
        <w:spacing w:after="120"/>
      </w:pPr>
      <w:r>
        <w:rPr>
          <w:i w:val="0"/>
          <w:sz w:val="21"/>
        </w:rPr>
        <w:t>Ownership</w:t>
      </w:r>
    </w:p>
    <w:p>
      <w:pPr>
        <w:pStyle w:val="ListNumber"/>
        <w:spacing w:after="60"/>
      </w:pPr>
      <w:r>
        <w:rPr>
          <w:sz w:val="21"/>
        </w:rPr>
        <w:t>Every data domain must have a named Data Owner recorded in the Data Asset Register.</w:t>
      </w:r>
    </w:p>
    <w:p>
      <w:pPr>
        <w:pStyle w:val="ListNumber"/>
        <w:spacing w:after="60"/>
      </w:pPr>
      <w:r>
        <w:rPr>
          <w:sz w:val="21"/>
        </w:rPr>
        <w:t>Data assets of material significance must be registered before first production use.</w:t>
      </w:r>
    </w:p>
    <w:p>
      <w:pPr>
        <w:spacing w:after="120"/>
      </w:pPr>
      <w:r>
        <w:rPr>
          <w:i w:val="0"/>
          <w:sz w:val="21"/>
        </w:rPr>
        <w:t>Classification &amp; handling</w:t>
      </w:r>
    </w:p>
    <w:p>
      <w:pPr>
        <w:pStyle w:val="ListNumber"/>
        <w:spacing w:after="60"/>
      </w:pPr>
      <w:r>
        <w:rPr>
          <w:sz w:val="21"/>
        </w:rPr>
        <w:t>All data must be classified per Data Classification Policy.</w:t>
      </w:r>
    </w:p>
    <w:p>
      <w:pPr>
        <w:pStyle w:val="ListNumber"/>
        <w:spacing w:after="60"/>
      </w:pPr>
      <w:r>
        <w:rPr>
          <w:sz w:val="21"/>
        </w:rPr>
        <w:t>Data must be handled in line with the controls for its classification, including when used as input to any AI tool.</w:t>
      </w:r>
    </w:p>
    <w:p>
      <w:pPr>
        <w:pStyle w:val="ListNumber"/>
        <w:spacing w:after="60"/>
      </w:pPr>
      <w:r>
        <w:rPr>
          <w:sz w:val="21"/>
        </w:rPr>
        <w:t>Restricted or Confidential data must not be entered into any AI service that has not been approved for that classification.</w:t>
      </w:r>
    </w:p>
    <w:p>
      <w:pPr>
        <w:spacing w:after="120"/>
      </w:pPr>
      <w:r>
        <w:rPr>
          <w:i w:val="0"/>
          <w:sz w:val="21"/>
        </w:rPr>
        <w:t>Lawfulness</w:t>
      </w:r>
    </w:p>
    <w:p>
      <w:pPr>
        <w:pStyle w:val="ListNumber"/>
        <w:spacing w:after="60"/>
      </w:pPr>
      <w:r>
        <w:rPr>
          <w:sz w:val="21"/>
        </w:rPr>
        <w:t>A lawful basis must be identified and recorded before personal data is processed, and recorded in the Processing Dpia Log.</w:t>
      </w:r>
    </w:p>
    <w:p>
      <w:pPr>
        <w:pStyle w:val="ListNumber"/>
        <w:spacing w:after="60"/>
      </w:pPr>
      <w:r>
        <w:rPr>
          <w:sz w:val="21"/>
        </w:rPr>
        <w:t>Secondary use of personal data must be assessed for compatibility before it proceeds.</w:t>
      </w:r>
    </w:p>
    <w:p>
      <w:pPr>
        <w:spacing w:after="120"/>
      </w:pPr>
      <w:r>
        <w:rPr>
          <w:i w:val="0"/>
          <w:sz w:val="21"/>
        </w:rPr>
        <w:t>Quality</w:t>
      </w:r>
    </w:p>
    <w:p>
      <w:pPr>
        <w:pStyle w:val="ListNumber"/>
        <w:spacing w:after="60"/>
      </w:pPr>
      <w:r>
        <w:rPr>
          <w:sz w:val="21"/>
        </w:rPr>
        <w:t>Data Owners must define quality thresholds for their domain per Data Quality Standard.</w:t>
      </w:r>
    </w:p>
    <w:p>
      <w:pPr>
        <w:pStyle w:val="ListNumber"/>
        <w:spacing w:after="60"/>
      </w:pPr>
      <w:r>
        <w:rPr>
          <w:sz w:val="21"/>
        </w:rPr>
        <w:t>Quality breaches must be logged and remediated within the agreed timeframe.</w:t>
      </w:r>
    </w:p>
    <w:p>
      <w:pPr>
        <w:spacing w:after="120"/>
      </w:pPr>
      <w:r>
        <w:rPr>
          <w:i w:val="0"/>
          <w:sz w:val="21"/>
        </w:rPr>
        <w:t>Access</w:t>
      </w:r>
    </w:p>
    <w:p>
      <w:pPr>
        <w:pStyle w:val="ListNumber"/>
        <w:spacing w:after="60"/>
      </w:pPr>
      <w:r>
        <w:rPr>
          <w:sz w:val="21"/>
        </w:rPr>
        <w:t>Access must be granted on least privilege and reviewed at least Annually for all data; every six months for Restricted (unless: Quarterly for Restricted data in a regulated sector, or where staff turnover is high.).</w:t>
      </w:r>
    </w:p>
    <w:p>
      <w:pPr>
        <w:pStyle w:val="ListNumber"/>
        <w:spacing w:after="60"/>
      </w:pPr>
      <w:r>
        <w:rPr>
          <w:sz w:val="21"/>
        </w:rPr>
        <w:t>Access to Restricted data must be approved by the Data Owner.</w:t>
      </w:r>
    </w:p>
    <w:p>
      <w:pPr>
        <w:spacing w:after="120"/>
      </w:pPr>
      <w:r>
        <w:rPr>
          <w:i w:val="0"/>
          <w:sz w:val="21"/>
        </w:rPr>
        <w:t>Retention &amp; disposal</w:t>
      </w:r>
    </w:p>
    <w:p>
      <w:pPr>
        <w:pStyle w:val="ListNumber"/>
        <w:spacing w:after="60"/>
      </w:pPr>
      <w:r>
        <w:rPr>
          <w:sz w:val="21"/>
        </w:rPr>
        <w:t>Data must not be retained beyond the period in the retention schedule.</w:t>
      </w:r>
    </w:p>
    <w:p>
      <w:pPr>
        <w:pStyle w:val="ListNumber"/>
        <w:spacing w:after="60"/>
      </w:pPr>
      <w:r>
        <w:rPr>
          <w:sz w:val="21"/>
        </w:rPr>
        <w:t>Disposal must be verifiable and recorded.</w:t>
      </w:r>
    </w:p>
    <w:p>
      <w:pPr>
        <w:spacing w:before="200" w:after="80"/>
      </w:pPr>
      <w:r>
        <w:rPr>
          <w:b/>
          <w:color w:val="3F51B5"/>
          <w:sz w:val="24"/>
        </w:rPr>
        <w:t>4. Roles &amp; responsibilities</w:t>
      </w:r>
    </w:p>
    <w:p>
      <w:pPr>
        <w:spacing w:after="120"/>
      </w:pPr>
      <w:r>
        <w:rPr>
          <w:i w:val="0"/>
          <w:sz w:val="21"/>
        </w:rPr>
        <w:t>See Roles Responsibilities. In summary: Owners are accountable, Stewards operate, Custodians enforce technically, and every user complies.</w:t>
      </w:r>
    </w:p>
    <w:p>
      <w:pPr>
        <w:spacing w:before="200" w:after="80"/>
      </w:pPr>
      <w:r>
        <w:rPr>
          <w:b/>
          <w:color w:val="3F51B5"/>
          <w:sz w:val="24"/>
        </w:rPr>
        <w:t>5. Exceptions</w:t>
      </w:r>
    </w:p>
    <w:p>
      <w:pPr>
        <w:spacing w:after="120"/>
      </w:pPr>
      <w:r>
        <w:rPr>
          <w:i w:val="0"/>
          <w:sz w:val="21"/>
        </w:rPr>
        <w:t>Requested from the Data Owner, approved by [the committee], recorded with a mandatory expiry date, and reported at each committee meeting. An exception without an expiry is a silent policy change.</w:t>
      </w:r>
    </w:p>
    <w:p>
      <w:pPr>
        <w:spacing w:before="200" w:after="80"/>
      </w:pPr>
      <w:r>
        <w:rPr>
          <w:b/>
          <w:color w:val="3F51B5"/>
          <w:sz w:val="24"/>
        </w:rPr>
        <w:t>6. Compliance</w:t>
      </w:r>
    </w:p>
    <w:p>
      <w:pPr>
        <w:spacing w:after="120"/>
      </w:pPr>
      <w:r>
        <w:rPr>
          <w:i w:val="0"/>
          <w:sz w:val="21"/>
        </w:rPr>
        <w:t>Breaches are handled under [the disciplinary / supplier management process]. Material breaches are reported to [the committee] and logged in the Incident Log.</w:t>
      </w:r>
    </w:p>
    <w:p>
      <w:pPr>
        <w:spacing w:before="200" w:after="80"/>
      </w:pPr>
      <w:r>
        <w:rPr>
          <w:b/>
          <w:color w:val="3F51B5"/>
          <w:sz w:val="24"/>
        </w:rPr>
        <w:t>7.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Version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Date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Owner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Approved by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Next review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0.1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[role]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[committee]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</w:tbl>
    <w:p>
      <w:pPr>
        <w:spacing w:after="80"/>
      </w:pP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Statements 1–7 and 12 are the irreducible core. Add the rest as you grow rather than publishing rules you cannot enforce.</w:t>
      </w:r>
    </w:p>
    <w:p>
      <w:pPr>
        <w:pStyle w:val="ListBullet"/>
        <w:spacing w:after="80"/>
      </w:pPr>
      <w:r>
        <w:rPr>
          <w:b/>
          <w:sz w:val="21"/>
        </w:rPr>
        <w:t xml:space="preserve">Regulated sectors: </w:t>
      </w:r>
      <w:r>
        <w:rPr>
          <w:sz w:val="21"/>
        </w:rPr>
        <w:t>Cross-reference each statement to the supervisory requirement it satisfies, so audit can trace obligation to control in one hop.</w:t>
      </w:r>
    </w:p>
    <w:p>
      <w:pPr>
        <w:pStyle w:val="ListBullet"/>
        <w:spacing w:after="80"/>
      </w:pPr>
      <w:r>
        <w:rPr>
          <w:b/>
          <w:sz w:val="21"/>
        </w:rPr>
        <w:t xml:space="preserve">Heavy SaaS estates: </w:t>
      </w:r>
      <w:r>
        <w:rPr>
          <w:sz w:val="21"/>
        </w:rPr>
        <w:t>Statement 5 is the one that gets breached most. Pair it with an approved tool list people can actually find, or it becomes shelf-ware.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