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3F51B5"/>
          <w:sz w:val="40"/>
        </w:rPr>
        <w:t>Data Governance Framework</w:t>
      </w:r>
    </w:p>
    <w:p>
      <w:pPr>
        <w:spacing w:after="240"/>
      </w:pPr>
      <w:r>
        <w:rPr>
          <w:i/>
          <w:color w:val="606060"/>
          <w:sz w:val="17"/>
        </w:rPr>
        <w:t>Open Data &amp; AI Governance Kit  ·  Licensed CC BY 4.0  ·  https://lsdeva.github.io/governance-kit/</w:t>
      </w:r>
    </w:p>
    <w:p>
      <w:pPr>
        <w:spacing w:after="120"/>
      </w:pPr>
      <w:r>
        <w:rPr>
          <w:b/>
          <w:sz w:val="21"/>
        </w:rPr>
        <w:t xml:space="preserve">Purpose. </w:t>
      </w:r>
      <w:r>
        <w:rPr>
          <w:sz w:val="21"/>
        </w:rPr>
        <w:t>The reference that defines how your organisation governs data: what data you hold, who owns it, what quality is expected, and how decisions about it are made. It is the foundation the AI governance work sits on — most AI failures trace back to a data problem nobody owned.</w:t>
      </w:r>
    </w:p>
    <w:p>
      <w:pPr>
        <w:spacing w:after="120"/>
      </w:pPr>
      <w:r>
        <w:rPr>
          <w:b/>
          <w:sz w:val="21"/>
        </w:rPr>
        <w:t xml:space="preserve">When to use it. </w:t>
      </w:r>
      <w:r>
        <w:rPr>
          <w:sz w:val="21"/>
        </w:rPr>
        <w:t>Adopt once, then review annually or when your data estate, regulatory exposure, or operating model changes materially.</w:t>
      </w:r>
    </w:p>
    <w:p>
      <w:pPr>
        <w:spacing w:after="120"/>
      </w:pPr>
      <w:r>
        <w:rPr>
          <w:b/>
          <w:sz w:val="21"/>
        </w:rPr>
        <w:t xml:space="preserve">How to use it. </w:t>
      </w:r>
      <w:r>
        <w:rPr>
          <w:sz w:val="21"/>
        </w:rPr>
        <w:t>Start from section 3 (domains and ownership) rather than the top — naming owners is the hardest part and everything else depends on it. Get the domain list agreed before you write policy statements, or you will write rules nobody has agreed to enforce.</w:t>
      </w:r>
    </w:p>
    <w:p/>
    <w:p>
      <w:pPr>
        <w:spacing w:before="200" w:after="80"/>
      </w:pPr>
      <w:r>
        <w:rPr>
          <w:b/>
          <w:color w:val="3F51B5"/>
          <w:sz w:val="24"/>
        </w:rPr>
        <w:t>1. Purpose &amp; scope</w:t>
      </w:r>
    </w:p>
    <w:p>
      <w:pPr>
        <w:spacing w:after="120"/>
      </w:pPr>
      <w:r>
        <w:rPr>
          <w:i w:val="0"/>
          <w:sz w:val="21"/>
        </w:rPr>
        <w:t>This framework sets out how [Organisation] governs data across its lifecycle — creation, storage, use, sharing, retention, and disposal. It applies to all data the organisation holds or processes, in all systems, including data held by third parties on our behalf.</w:t>
      </w:r>
    </w:p>
    <w:p>
      <w:pPr>
        <w:spacing w:before="200" w:after="80"/>
      </w:pPr>
      <w:r>
        <w:rPr>
          <w:b/>
          <w:color w:val="3F51B5"/>
          <w:sz w:val="24"/>
        </w:rPr>
        <w:t>2. Principles</w:t>
      </w:r>
    </w:p>
    <w:p>
      <w:pPr>
        <w:pStyle w:val="ListBullet"/>
        <w:spacing w:after="60"/>
      </w:pPr>
      <w:r>
        <w:rPr>
          <w:sz w:val="21"/>
        </w:rPr>
        <w:t>Ownership — every significant data domain has one named accountable owner.</w:t>
      </w:r>
    </w:p>
    <w:p>
      <w:pPr>
        <w:pStyle w:val="ListBullet"/>
        <w:spacing w:after="60"/>
      </w:pPr>
      <w:r>
        <w:rPr>
          <w:sz w:val="21"/>
        </w:rPr>
        <w:t>Fitness for purpose — quality is defined by what the data is used for, not in the abstract.</w:t>
      </w:r>
    </w:p>
    <w:p>
      <w:pPr>
        <w:pStyle w:val="ListBullet"/>
        <w:spacing w:after="60"/>
      </w:pPr>
      <w:r>
        <w:rPr>
          <w:sz w:val="21"/>
        </w:rPr>
        <w:t>Lawfulness — we can point to a lawful basis for every processing activity.</w:t>
      </w:r>
    </w:p>
    <w:p>
      <w:pPr>
        <w:pStyle w:val="ListBullet"/>
        <w:spacing w:after="60"/>
      </w:pPr>
      <w:r>
        <w:rPr>
          <w:sz w:val="21"/>
        </w:rPr>
        <w:t>Minimisation — we hold what we need, for as long as we need it.</w:t>
      </w:r>
    </w:p>
    <w:p>
      <w:pPr>
        <w:pStyle w:val="ListBullet"/>
        <w:spacing w:after="60"/>
      </w:pPr>
      <w:r>
        <w:rPr>
          <w:sz w:val="21"/>
        </w:rPr>
        <w:t>Transparency — definitions, lineage, and quality are discoverable.</w:t>
      </w:r>
    </w:p>
    <w:p>
      <w:pPr>
        <w:pStyle w:val="ListBullet"/>
        <w:spacing w:after="60"/>
      </w:pPr>
      <w:r>
        <w:rPr>
          <w:sz w:val="21"/>
        </w:rPr>
        <w:t>Security by classification — handling follows sensitivity (see Data Classification Policy).</w:t>
      </w:r>
    </w:p>
    <w:p>
      <w:pPr>
        <w:pStyle w:val="ListBullet"/>
        <w:spacing w:after="60"/>
      </w:pPr>
      <w:r>
        <w:rPr>
          <w:sz w:val="21"/>
        </w:rPr>
        <w:t>Proportionality — control effort scales with value and risk.</w:t>
      </w:r>
    </w:p>
    <w:p>
      <w:pPr>
        <w:spacing w:before="200" w:after="80"/>
      </w:pPr>
      <w:r>
        <w:rPr>
          <w:b/>
          <w:color w:val="3F51B5"/>
          <w:sz w:val="24"/>
        </w:rPr>
        <w:t>3. Data domains &amp; ownership</w:t>
      </w:r>
    </w:p>
    <w:p>
      <w:pPr>
        <w:spacing w:after="120"/>
      </w:pPr>
      <w:r>
        <w:rPr>
          <w:i w:val="0"/>
          <w:sz w:val="21"/>
        </w:rPr>
        <w:t>The estate is divided into domains, each with a named owner accountable for its definitions, quality, and access decisions.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tcPr>
          <w:p>
            <w:pPr>
              <w:spacing w:after="40"/>
            </w:pPr>
            <w:r/>
            <w:r>
              <w:rPr>
                <w:b/>
                <w:sz w:val="17"/>
              </w:rPr>
              <w:t>Domain</w:t>
            </w:r>
          </w:p>
        </w:tc>
        <w:tc>
          <w:tcPr>
            <w:tcW w:type="dxa" w:w="1930"/>
          </w:tcPr>
          <w:p>
            <w:pPr>
              <w:spacing w:after="40"/>
            </w:pPr>
            <w:r/>
            <w:r>
              <w:rPr>
                <w:b/>
                <w:sz w:val="17"/>
              </w:rPr>
              <w:t>Owner (role)</w:t>
            </w:r>
          </w:p>
        </w:tc>
        <w:tc>
          <w:tcPr>
            <w:tcW w:type="dxa" w:w="1930"/>
          </w:tcPr>
          <w:p>
            <w:pPr>
              <w:spacing w:after="40"/>
            </w:pPr>
            <w:r/>
            <w:r>
              <w:rPr>
                <w:b/>
                <w:sz w:val="17"/>
              </w:rPr>
              <w:t>Steward</w:t>
            </w:r>
          </w:p>
        </w:tc>
        <w:tc>
          <w:tcPr>
            <w:tcW w:type="dxa" w:w="1930"/>
          </w:tcPr>
          <w:p>
            <w:pPr>
              <w:spacing w:after="40"/>
            </w:pPr>
            <w:r/>
            <w:r>
              <w:rPr>
                <w:b/>
                <w:sz w:val="17"/>
              </w:rPr>
              <w:t>Systems of record</w:t>
            </w:r>
          </w:p>
        </w:tc>
        <w:tc>
          <w:tcPr>
            <w:tcW w:type="dxa" w:w="1930"/>
          </w:tcPr>
          <w:p>
            <w:pPr>
              <w:spacing w:after="40"/>
            </w:pPr>
            <w:r/>
            <w:r>
              <w:rPr>
                <w:b/>
                <w:sz w:val="17"/>
              </w:rPr>
              <w:t>Classification</w:t>
            </w:r>
          </w:p>
        </w:tc>
      </w:tr>
      <w:tr>
        <w:tc>
          <w:tcPr>
            <w:tcW w:type="dxa" w:w="1930"/>
          </w:tcPr>
          <w:p>
            <w:pPr>
              <w:spacing w:after="40"/>
            </w:pPr>
            <w:r/>
            <w:r>
              <w:rPr>
                <w:sz w:val="17"/>
              </w:rPr>
              <w:t>Customer</w:t>
            </w:r>
          </w:p>
        </w:tc>
        <w:tc>
          <w:tcPr>
            <w:tcW w:type="dxa" w:w="1930"/>
          </w:tcPr>
          <w:p>
            <w:pPr>
              <w:spacing w:after="40"/>
            </w:pPr>
            <w:r/>
            <w:r>
              <w:rPr>
                <w:sz w:val="17"/>
              </w:rPr>
              <w:t>[role]</w:t>
            </w:r>
          </w:p>
        </w:tc>
        <w:tc>
          <w:tcPr>
            <w:tcW w:type="dxa" w:w="1930"/>
          </w:tcPr>
          <w:p>
            <w:pPr>
              <w:spacing w:after="40"/>
            </w:pPr>
            <w:r/>
            <w:r>
              <w:rPr>
                <w:sz w:val="17"/>
              </w:rPr>
              <w:t>[name]</w:t>
            </w:r>
          </w:p>
        </w:tc>
        <w:tc>
          <w:tcPr>
            <w:tcW w:type="dxa" w:w="1930"/>
          </w:tcPr>
          <w:p>
            <w:pPr>
              <w:spacing w:after="40"/>
            </w:pPr>
            <w:r/>
            <w:r>
              <w:rPr>
                <w:sz w:val="17"/>
              </w:rPr>
              <w:t>[system]</w:t>
            </w:r>
          </w:p>
        </w:tc>
        <w:tc>
          <w:tcPr>
            <w:tcW w:type="dxa" w:w="1930"/>
          </w:tcPr>
          <w:p>
            <w:pPr>
              <w:spacing w:after="40"/>
            </w:pPr>
            <w:r/>
            <w:r>
              <w:rPr>
                <w:sz w:val="17"/>
              </w:rPr>
              <w:t>Confidential</w:t>
            </w:r>
          </w:p>
        </w:tc>
      </w:tr>
      <w:tr>
        <w:tc>
          <w:tcPr>
            <w:tcW w:type="dxa" w:w="1930"/>
          </w:tcPr>
          <w:p>
            <w:pPr>
              <w:spacing w:after="40"/>
            </w:pPr>
            <w:r/>
            <w:r>
              <w:rPr>
                <w:sz w:val="17"/>
              </w:rPr>
              <w:t>Employee</w:t>
            </w:r>
          </w:p>
        </w:tc>
        <w:tc>
          <w:tcPr>
            <w:tcW w:type="dxa" w:w="1930"/>
          </w:tcPr>
          <w:p>
            <w:pPr>
              <w:spacing w:after="40"/>
            </w:pPr>
            <w:r/>
            <w:r>
              <w:rPr>
                <w:sz w:val="17"/>
              </w:rPr>
              <w:t>[role]</w:t>
            </w:r>
          </w:p>
        </w:tc>
        <w:tc>
          <w:tcPr>
            <w:tcW w:type="dxa" w:w="1930"/>
          </w:tcPr>
          <w:p>
            <w:pPr>
              <w:spacing w:after="40"/>
            </w:pPr>
            <w:r/>
            <w:r>
              <w:rPr>
                <w:sz w:val="17"/>
              </w:rPr>
              <w:t>[name]</w:t>
            </w:r>
          </w:p>
        </w:tc>
        <w:tc>
          <w:tcPr>
            <w:tcW w:type="dxa" w:w="1930"/>
          </w:tcPr>
          <w:p>
            <w:pPr>
              <w:spacing w:after="40"/>
            </w:pPr>
            <w:r/>
            <w:r>
              <w:rPr>
                <w:sz w:val="17"/>
              </w:rPr>
              <w:t>[system]</w:t>
            </w:r>
          </w:p>
        </w:tc>
        <w:tc>
          <w:tcPr>
            <w:tcW w:type="dxa" w:w="1930"/>
          </w:tcPr>
          <w:p>
            <w:pPr>
              <w:spacing w:after="40"/>
            </w:pPr>
            <w:r/>
            <w:r>
              <w:rPr>
                <w:sz w:val="17"/>
              </w:rPr>
              <w:t>Confidential</w:t>
            </w:r>
          </w:p>
        </w:tc>
      </w:tr>
      <w:tr>
        <w:tc>
          <w:tcPr>
            <w:tcW w:type="dxa" w:w="1930"/>
          </w:tcPr>
          <w:p>
            <w:pPr>
              <w:spacing w:after="40"/>
            </w:pPr>
            <w:r/>
            <w:r>
              <w:rPr>
                <w:sz w:val="17"/>
              </w:rPr>
              <w:t>Financial</w:t>
            </w:r>
          </w:p>
        </w:tc>
        <w:tc>
          <w:tcPr>
            <w:tcW w:type="dxa" w:w="1930"/>
          </w:tcPr>
          <w:p>
            <w:pPr>
              <w:spacing w:after="40"/>
            </w:pPr>
            <w:r/>
            <w:r>
              <w:rPr>
                <w:sz w:val="17"/>
              </w:rPr>
              <w:t>[role]</w:t>
            </w:r>
          </w:p>
        </w:tc>
        <w:tc>
          <w:tcPr>
            <w:tcW w:type="dxa" w:w="1930"/>
          </w:tcPr>
          <w:p>
            <w:pPr>
              <w:spacing w:after="40"/>
            </w:pPr>
            <w:r/>
            <w:r>
              <w:rPr>
                <w:sz w:val="17"/>
              </w:rPr>
              <w:t>[name]</w:t>
            </w:r>
          </w:p>
        </w:tc>
        <w:tc>
          <w:tcPr>
            <w:tcW w:type="dxa" w:w="1930"/>
          </w:tcPr>
          <w:p>
            <w:pPr>
              <w:spacing w:after="40"/>
            </w:pPr>
            <w:r/>
            <w:r>
              <w:rPr>
                <w:sz w:val="17"/>
              </w:rPr>
              <w:t>[system]</w:t>
            </w:r>
          </w:p>
        </w:tc>
        <w:tc>
          <w:tcPr>
            <w:tcW w:type="dxa" w:w="1930"/>
          </w:tcPr>
          <w:p>
            <w:pPr>
              <w:spacing w:after="40"/>
            </w:pPr>
            <w:r/>
            <w:r>
              <w:rPr>
                <w:sz w:val="17"/>
              </w:rPr>
              <w:t>Restricted</w:t>
            </w:r>
          </w:p>
        </w:tc>
      </w:tr>
      <w:tr>
        <w:tc>
          <w:tcPr>
            <w:tcW w:type="dxa" w:w="1930"/>
          </w:tcPr>
          <w:p>
            <w:pPr>
              <w:spacing w:after="40"/>
            </w:pPr>
            <w:r/>
            <w:r>
              <w:rPr>
                <w:sz w:val="17"/>
              </w:rPr>
              <w:t>Product / operational</w:t>
            </w:r>
          </w:p>
        </w:tc>
        <w:tc>
          <w:tcPr>
            <w:tcW w:type="dxa" w:w="1930"/>
          </w:tcPr>
          <w:p>
            <w:pPr>
              <w:spacing w:after="40"/>
            </w:pPr>
            <w:r/>
            <w:r>
              <w:rPr>
                <w:sz w:val="17"/>
              </w:rPr>
              <w:t>[role]</w:t>
            </w:r>
          </w:p>
        </w:tc>
        <w:tc>
          <w:tcPr>
            <w:tcW w:type="dxa" w:w="1930"/>
          </w:tcPr>
          <w:p>
            <w:pPr>
              <w:spacing w:after="40"/>
            </w:pPr>
            <w:r/>
            <w:r>
              <w:rPr>
                <w:sz w:val="17"/>
              </w:rPr>
              <w:t>[name]</w:t>
            </w:r>
          </w:p>
        </w:tc>
        <w:tc>
          <w:tcPr>
            <w:tcW w:type="dxa" w:w="1930"/>
          </w:tcPr>
          <w:p>
            <w:pPr>
              <w:spacing w:after="40"/>
            </w:pPr>
            <w:r/>
            <w:r>
              <w:rPr>
                <w:sz w:val="17"/>
              </w:rPr>
              <w:t>[system]</w:t>
            </w:r>
          </w:p>
        </w:tc>
        <w:tc>
          <w:tcPr>
            <w:tcW w:type="dxa" w:w="1930"/>
          </w:tcPr>
          <w:p>
            <w:pPr>
              <w:spacing w:after="40"/>
            </w:pPr>
            <w:r/>
            <w:r>
              <w:rPr>
                <w:sz w:val="17"/>
              </w:rPr>
              <w:t>Internal</w:t>
            </w:r>
          </w:p>
        </w:tc>
      </w:tr>
      <w:tr>
        <w:tc>
          <w:tcPr>
            <w:tcW w:type="dxa" w:w="1930"/>
          </w:tcPr>
          <w:p>
            <w:pPr>
              <w:spacing w:after="40"/>
            </w:pPr>
            <w:r/>
            <w:r>
              <w:rPr>
                <w:sz w:val="17"/>
              </w:rPr>
              <w:t>[add domains]</w:t>
            </w:r>
          </w:p>
        </w:tc>
        <w:tc>
          <w:tcPr>
            <w:tcW w:type="dxa" w:w="1930"/>
          </w:tcPr>
          <w:p>
            <w:pPr>
              <w:spacing w:after="40"/>
            </w:pPr>
            <w:r/>
            <w:r>
              <w:rPr>
                <w:sz w:val="17"/>
              </w:rPr>
            </w:r>
          </w:p>
        </w:tc>
        <w:tc>
          <w:tcPr>
            <w:tcW w:type="dxa" w:w="1930"/>
          </w:tcPr>
          <w:p>
            <w:pPr>
              <w:spacing w:after="40"/>
            </w:pPr>
            <w:r/>
            <w:r>
              <w:rPr>
                <w:sz w:val="17"/>
              </w:rPr>
            </w:r>
          </w:p>
        </w:tc>
        <w:tc>
          <w:tcPr>
            <w:tcW w:type="dxa" w:w="1930"/>
          </w:tcPr>
          <w:p>
            <w:pPr>
              <w:spacing w:after="40"/>
            </w:pPr>
            <w:r/>
            <w:r>
              <w:rPr>
                <w:sz w:val="17"/>
              </w:rPr>
            </w:r>
          </w:p>
        </w:tc>
        <w:tc>
          <w:tcPr>
            <w:tcW w:type="dxa" w:w="1930"/>
          </w:tcPr>
          <w:p>
            <w:pPr>
              <w:spacing w:after="40"/>
            </w:pPr>
            <w:r/>
            <w:r>
              <w:rPr>
                <w:sz w:val="17"/>
              </w:rPr>
            </w:r>
          </w:p>
        </w:tc>
      </w:tr>
    </w:tbl>
    <w:p>
      <w:pPr>
        <w:spacing w:after="80"/>
      </w:pPr>
    </w:p>
    <w:p>
      <w:pPr>
        <w:spacing w:after="120"/>
      </w:pPr>
      <w:r>
        <w:rPr>
          <w:i w:val="0"/>
          <w:sz w:val="21"/>
        </w:rPr>
        <w:t>Domains are recorded in the Data Asset Register.</w:t>
      </w:r>
    </w:p>
    <w:p>
      <w:pPr>
        <w:spacing w:before="200" w:after="80"/>
      </w:pPr>
      <w:r>
        <w:rPr>
          <w:b/>
          <w:color w:val="3F51B5"/>
          <w:sz w:val="24"/>
        </w:rPr>
        <w:t>4. Roles</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Role</w:t>
            </w:r>
          </w:p>
        </w:tc>
        <w:tc>
          <w:tcPr>
            <w:tcW w:type="dxa" w:w="4824"/>
          </w:tcPr>
          <w:p>
            <w:pPr>
              <w:spacing w:after="40"/>
            </w:pPr>
            <w:r/>
            <w:r>
              <w:rPr>
                <w:b/>
                <w:sz w:val="17"/>
              </w:rPr>
              <w:t>Accountable for</w:t>
            </w:r>
          </w:p>
        </w:tc>
      </w:tr>
      <w:tr>
        <w:tc>
          <w:tcPr>
            <w:tcW w:type="dxa" w:w="4824"/>
          </w:tcPr>
          <w:p>
            <w:pPr>
              <w:spacing w:after="40"/>
            </w:pPr>
            <w:r/>
            <w:r>
              <w:rPr>
                <w:sz w:val="17"/>
              </w:rPr>
              <w:t>Data Owner</w:t>
            </w:r>
          </w:p>
        </w:tc>
        <w:tc>
          <w:tcPr>
            <w:tcW w:type="dxa" w:w="4824"/>
          </w:tcPr>
          <w:p>
            <w:pPr>
              <w:spacing w:after="40"/>
            </w:pPr>
            <w:r/>
            <w:r>
              <w:rPr>
                <w:sz w:val="17"/>
              </w:rPr>
              <w:t>Business accountability for a domain: definitions, access, quality targets, acceptance of risk.</w:t>
            </w:r>
          </w:p>
        </w:tc>
      </w:tr>
      <w:tr>
        <w:tc>
          <w:tcPr>
            <w:tcW w:type="dxa" w:w="4824"/>
          </w:tcPr>
          <w:p>
            <w:pPr>
              <w:spacing w:after="40"/>
            </w:pPr>
            <w:r/>
            <w:r>
              <w:rPr>
                <w:sz w:val="17"/>
              </w:rPr>
              <w:t>Data Steward</w:t>
            </w:r>
          </w:p>
        </w:tc>
        <w:tc>
          <w:tcPr>
            <w:tcW w:type="dxa" w:w="4824"/>
          </w:tcPr>
          <w:p>
            <w:pPr>
              <w:spacing w:after="40"/>
            </w:pPr>
            <w:r/>
            <w:r>
              <w:rPr>
                <w:sz w:val="17"/>
              </w:rPr>
              <w:t>Day-to-day custody: definitions maintained, quality monitored, issues triaged.</w:t>
            </w:r>
          </w:p>
        </w:tc>
      </w:tr>
      <w:tr>
        <w:tc>
          <w:tcPr>
            <w:tcW w:type="dxa" w:w="4824"/>
          </w:tcPr>
          <w:p>
            <w:pPr>
              <w:spacing w:after="40"/>
            </w:pPr>
            <w:r/>
            <w:r>
              <w:rPr>
                <w:sz w:val="17"/>
              </w:rPr>
              <w:t>Data Custodian</w:t>
            </w:r>
          </w:p>
        </w:tc>
        <w:tc>
          <w:tcPr>
            <w:tcW w:type="dxa" w:w="4824"/>
          </w:tcPr>
          <w:p>
            <w:pPr>
              <w:spacing w:after="40"/>
            </w:pPr>
            <w:r/>
            <w:r>
              <w:rPr>
                <w:sz w:val="17"/>
              </w:rPr>
              <w:t>Technical operation: storage, backup, access enforcement, security controls.</w:t>
            </w:r>
          </w:p>
        </w:tc>
      </w:tr>
      <w:tr>
        <w:tc>
          <w:tcPr>
            <w:tcW w:type="dxa" w:w="4824"/>
          </w:tcPr>
          <w:p>
            <w:pPr>
              <w:spacing w:after="40"/>
            </w:pPr>
            <w:r/>
            <w:r>
              <w:rPr>
                <w:sz w:val="17"/>
              </w:rPr>
              <w:t>Consumers</w:t>
            </w:r>
          </w:p>
        </w:tc>
        <w:tc>
          <w:tcPr>
            <w:tcW w:type="dxa" w:w="4824"/>
          </w:tcPr>
          <w:p>
            <w:pPr>
              <w:spacing w:after="40"/>
            </w:pPr>
            <w:r/>
            <w:r>
              <w:rPr>
                <w:sz w:val="17"/>
              </w:rPr>
              <w:t>Using data within its stated purpose and classification.</w:t>
            </w:r>
          </w:p>
        </w:tc>
      </w:tr>
      <w:tr>
        <w:tc>
          <w:tcPr>
            <w:tcW w:type="dxa" w:w="4824"/>
          </w:tcPr>
          <w:p>
            <w:pPr>
              <w:spacing w:after="40"/>
            </w:pPr>
            <w:r/>
            <w:r>
              <w:rPr>
                <w:sz w:val="17"/>
              </w:rPr>
              <w:t>Data Governance Committee</w:t>
            </w:r>
          </w:p>
        </w:tc>
        <w:tc>
          <w:tcPr>
            <w:tcW w:type="dxa" w:w="4824"/>
          </w:tcPr>
          <w:p>
            <w:pPr>
              <w:spacing w:after="40"/>
            </w:pPr>
            <w:r/>
            <w:r>
              <w:rPr>
                <w:sz w:val="17"/>
              </w:rPr>
              <w:t>Owns this framework; arbitrates cross-domain disputes.</w:t>
            </w:r>
          </w:p>
        </w:tc>
      </w:tr>
    </w:tbl>
    <w:p>
      <w:pPr>
        <w:spacing w:after="80"/>
      </w:pPr>
    </w:p>
    <w:p>
      <w:pPr>
        <w:spacing w:after="120"/>
      </w:pPr>
      <w:r>
        <w:rPr>
          <w:i w:val="0"/>
          <w:sz w:val="21"/>
        </w:rPr>
        <w:t>Full detail in Roles Responsibilities and Raci.</w:t>
      </w:r>
    </w:p>
    <w:p>
      <w:pPr>
        <w:spacing w:before="200" w:after="80"/>
      </w:pPr>
      <w:r>
        <w:rPr>
          <w:b/>
          <w:color w:val="3F51B5"/>
          <w:sz w:val="24"/>
        </w:rPr>
        <w:t>5. Data quality</w:t>
      </w:r>
    </w:p>
    <w:p>
      <w:pPr>
        <w:spacing w:after="120"/>
      </w:pPr>
      <w:r>
        <w:rPr>
          <w:i w:val="0"/>
          <w:sz w:val="21"/>
        </w:rPr>
        <w:t>Quality is measured against defined dimensions with thresholds per domain — see Data Quality Standard. Owners are accountable for their domain's scores; breaches raise an issue in the Incident Log.</w:t>
      </w:r>
    </w:p>
    <w:p>
      <w:pPr>
        <w:spacing w:before="200" w:after="80"/>
      </w:pPr>
      <w:r>
        <w:rPr>
          <w:b/>
          <w:color w:val="3F51B5"/>
          <w:sz w:val="24"/>
        </w:rPr>
        <w:t>6. Lifecycle &amp; retention</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Stage</w:t>
            </w:r>
          </w:p>
        </w:tc>
        <w:tc>
          <w:tcPr>
            <w:tcW w:type="dxa" w:w="4824"/>
          </w:tcPr>
          <w:p>
            <w:pPr>
              <w:spacing w:after="40"/>
            </w:pPr>
            <w:r/>
            <w:r>
              <w:rPr>
                <w:b/>
                <w:sz w:val="17"/>
              </w:rPr>
              <w:t>Control</w:t>
            </w:r>
          </w:p>
        </w:tc>
      </w:tr>
      <w:tr>
        <w:tc>
          <w:tcPr>
            <w:tcW w:type="dxa" w:w="4824"/>
          </w:tcPr>
          <w:p>
            <w:pPr>
              <w:spacing w:after="40"/>
            </w:pPr>
            <w:r/>
            <w:r>
              <w:rPr>
                <w:sz w:val="17"/>
              </w:rPr>
              <w:t>Create / acquire</w:t>
            </w:r>
          </w:p>
        </w:tc>
        <w:tc>
          <w:tcPr>
            <w:tcW w:type="dxa" w:w="4824"/>
          </w:tcPr>
          <w:p>
            <w:pPr>
              <w:spacing w:after="40"/>
            </w:pPr>
            <w:r/>
            <w:r>
              <w:rPr>
                <w:sz w:val="17"/>
              </w:rPr>
              <w:t>Lawful basis confirmed; classified; registered.</w:t>
            </w:r>
          </w:p>
        </w:tc>
      </w:tr>
      <w:tr>
        <w:tc>
          <w:tcPr>
            <w:tcW w:type="dxa" w:w="4824"/>
          </w:tcPr>
          <w:p>
            <w:pPr>
              <w:spacing w:after="40"/>
            </w:pPr>
            <w:r/>
            <w:r>
              <w:rPr>
                <w:sz w:val="17"/>
              </w:rPr>
              <w:t>Store</w:t>
            </w:r>
          </w:p>
        </w:tc>
        <w:tc>
          <w:tcPr>
            <w:tcW w:type="dxa" w:w="4824"/>
          </w:tcPr>
          <w:p>
            <w:pPr>
              <w:spacing w:after="40"/>
            </w:pPr>
            <w:r/>
            <w:r>
              <w:rPr>
                <w:sz w:val="17"/>
              </w:rPr>
              <w:t>Held in an approved system with controls matching classification.</w:t>
            </w:r>
          </w:p>
        </w:tc>
      </w:tr>
      <w:tr>
        <w:tc>
          <w:tcPr>
            <w:tcW w:type="dxa" w:w="4824"/>
          </w:tcPr>
          <w:p>
            <w:pPr>
              <w:spacing w:after="40"/>
            </w:pPr>
            <w:r/>
            <w:r>
              <w:rPr>
                <w:sz w:val="17"/>
              </w:rPr>
              <w:t>Use</w:t>
            </w:r>
          </w:p>
        </w:tc>
        <w:tc>
          <w:tcPr>
            <w:tcW w:type="dxa" w:w="4824"/>
          </w:tcPr>
          <w:p>
            <w:pPr>
              <w:spacing w:after="40"/>
            </w:pPr>
            <w:r/>
            <w:r>
              <w:rPr>
                <w:sz w:val="17"/>
              </w:rPr>
              <w:t>Within stated purpose; secondary use re-assessed.</w:t>
            </w:r>
          </w:p>
        </w:tc>
      </w:tr>
      <w:tr>
        <w:tc>
          <w:tcPr>
            <w:tcW w:type="dxa" w:w="4824"/>
          </w:tcPr>
          <w:p>
            <w:pPr>
              <w:spacing w:after="40"/>
            </w:pPr>
            <w:r/>
            <w:r>
              <w:rPr>
                <w:sz w:val="17"/>
              </w:rPr>
              <w:t>Share</w:t>
            </w:r>
          </w:p>
        </w:tc>
        <w:tc>
          <w:tcPr>
            <w:tcW w:type="dxa" w:w="4824"/>
          </w:tcPr>
          <w:p>
            <w:pPr>
              <w:spacing w:after="40"/>
            </w:pPr>
            <w:r/>
            <w:r>
              <w:rPr>
                <w:sz w:val="17"/>
              </w:rPr>
              <w:t>Agreement in place; recipient obligations flowed down.</w:t>
            </w:r>
          </w:p>
        </w:tc>
      </w:tr>
      <w:tr>
        <w:tc>
          <w:tcPr>
            <w:tcW w:type="dxa" w:w="4824"/>
          </w:tcPr>
          <w:p>
            <w:pPr>
              <w:spacing w:after="40"/>
            </w:pPr>
            <w:r/>
            <w:r>
              <w:rPr>
                <w:sz w:val="17"/>
              </w:rPr>
              <w:t>Retain</w:t>
            </w:r>
          </w:p>
        </w:tc>
        <w:tc>
          <w:tcPr>
            <w:tcW w:type="dxa" w:w="4824"/>
          </w:tcPr>
          <w:p>
            <w:pPr>
              <w:spacing w:after="40"/>
            </w:pPr>
            <w:r/>
            <w:r>
              <w:rPr>
                <w:sz w:val="17"/>
              </w:rPr>
              <w:t>Per the retention schedule — [reference].</w:t>
            </w:r>
          </w:p>
        </w:tc>
      </w:tr>
      <w:tr>
        <w:tc>
          <w:tcPr>
            <w:tcW w:type="dxa" w:w="4824"/>
          </w:tcPr>
          <w:p>
            <w:pPr>
              <w:spacing w:after="40"/>
            </w:pPr>
            <w:r/>
            <w:r>
              <w:rPr>
                <w:sz w:val="17"/>
              </w:rPr>
              <w:t>Dispose</w:t>
            </w:r>
          </w:p>
        </w:tc>
        <w:tc>
          <w:tcPr>
            <w:tcW w:type="dxa" w:w="4824"/>
          </w:tcPr>
          <w:p>
            <w:pPr>
              <w:spacing w:after="40"/>
            </w:pPr>
            <w:r/>
            <w:r>
              <w:rPr>
                <w:sz w:val="17"/>
              </w:rPr>
              <w:t>Verifiable deletion; disposal recorded.</w:t>
            </w:r>
          </w:p>
        </w:tc>
      </w:tr>
    </w:tbl>
    <w:p>
      <w:pPr>
        <w:spacing w:after="80"/>
      </w:pPr>
    </w:p>
    <w:p>
      <w:pPr>
        <w:spacing w:before="200" w:after="80"/>
      </w:pPr>
      <w:r>
        <w:rPr>
          <w:b/>
          <w:color w:val="3F51B5"/>
          <w:sz w:val="24"/>
        </w:rPr>
        <w:t>7. How this connects to AI</w:t>
      </w:r>
    </w:p>
    <w:p>
      <w:pPr>
        <w:spacing w:after="120"/>
      </w:pPr>
      <w:r>
        <w:rPr>
          <w:i w:val="0"/>
          <w:sz w:val="21"/>
        </w:rPr>
        <w:t>AI systems inherit the governance of the data they consume. Before a system enters development, its data sources must be registered, classified, and confirmed lawful for that purpose. See Ai Governance Framework and Ai Development Standard.</w:t>
      </w:r>
    </w:p>
    <w:p>
      <w:pPr>
        <w:spacing w:before="200" w:after="80"/>
      </w:pPr>
      <w:r>
        <w:rPr>
          <w:b/>
          <w:color w:val="3F51B5"/>
          <w:sz w:val="24"/>
        </w:rPr>
        <w:t>8. Compliance &amp; exceptions</w:t>
      </w:r>
    </w:p>
    <w:p>
      <w:pPr>
        <w:spacing w:after="120"/>
      </w:pPr>
      <w:r>
        <w:rPr>
          <w:i w:val="0"/>
          <w:sz w:val="21"/>
        </w:rPr>
        <w:t>Exceptions are requested from the data owner, recorded with an expiry date, and reported to the committee. Persistent exceptions indicate the rule is wrong — fix the rule.</w:t>
      </w:r>
    </w:p>
    <w:p>
      <w:pPr>
        <w:spacing w:before="200" w:after="80"/>
      </w:pPr>
      <w:r>
        <w:rPr>
          <w:b/>
          <w:color w:val="3F51B5"/>
          <w:sz w:val="24"/>
        </w:rPr>
        <w:t>9. Review</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tcPr>
          <w:p>
            <w:pPr>
              <w:spacing w:after="40"/>
            </w:pPr>
            <w:r/>
            <w:r>
              <w:rPr>
                <w:b/>
                <w:sz w:val="17"/>
              </w:rPr>
              <w:t>Version</w:t>
            </w:r>
          </w:p>
        </w:tc>
        <w:tc>
          <w:tcPr>
            <w:tcW w:type="dxa" w:w="1930"/>
          </w:tcPr>
          <w:p>
            <w:pPr>
              <w:spacing w:after="40"/>
            </w:pPr>
            <w:r/>
            <w:r>
              <w:rPr>
                <w:b/>
                <w:sz w:val="17"/>
              </w:rPr>
              <w:t>Date</w:t>
            </w:r>
          </w:p>
        </w:tc>
        <w:tc>
          <w:tcPr>
            <w:tcW w:type="dxa" w:w="1930"/>
          </w:tcPr>
          <w:p>
            <w:pPr>
              <w:spacing w:after="40"/>
            </w:pPr>
            <w:r/>
            <w:r>
              <w:rPr>
                <w:b/>
                <w:sz w:val="17"/>
              </w:rPr>
              <w:t>Author</w:t>
            </w:r>
          </w:p>
        </w:tc>
        <w:tc>
          <w:tcPr>
            <w:tcW w:type="dxa" w:w="1930"/>
          </w:tcPr>
          <w:p>
            <w:pPr>
              <w:spacing w:after="40"/>
            </w:pPr>
            <w:r/>
            <w:r>
              <w:rPr>
                <w:b/>
                <w:sz w:val="17"/>
              </w:rPr>
              <w:t>Approved by</w:t>
            </w:r>
          </w:p>
        </w:tc>
        <w:tc>
          <w:tcPr>
            <w:tcW w:type="dxa" w:w="1930"/>
          </w:tcPr>
          <w:p>
            <w:pPr>
              <w:spacing w:after="40"/>
            </w:pPr>
            <w:r/>
            <w:r>
              <w:rPr>
                <w:b/>
                <w:sz w:val="17"/>
              </w:rPr>
              <w:t>Next review</w:t>
            </w:r>
          </w:p>
        </w:tc>
      </w:tr>
      <w:tr>
        <w:tc>
          <w:tcPr>
            <w:tcW w:type="dxa" w:w="1930"/>
          </w:tcPr>
          <w:p>
            <w:pPr>
              <w:spacing w:after="40"/>
            </w:pPr>
            <w:r/>
            <w:r>
              <w:rPr>
                <w:sz w:val="17"/>
              </w:rPr>
              <w:t>0.1</w:t>
            </w:r>
          </w:p>
        </w:tc>
        <w:tc>
          <w:tcPr>
            <w:tcW w:type="dxa" w:w="1930"/>
          </w:tcPr>
          <w:p>
            <w:pPr>
              <w:spacing w:after="40"/>
            </w:pPr>
            <w:r/>
            <w:r>
              <w:rPr>
                <w:sz w:val="17"/>
              </w:rPr>
              <w:t>[date]</w:t>
            </w:r>
          </w:p>
        </w:tc>
        <w:tc>
          <w:tcPr>
            <w:tcW w:type="dxa" w:w="1930"/>
          </w:tcPr>
          <w:p>
            <w:pPr>
              <w:spacing w:after="40"/>
            </w:pPr>
            <w:r/>
            <w:r>
              <w:rPr>
                <w:sz w:val="17"/>
              </w:rPr>
              <w:t>[name]</w:t>
            </w:r>
          </w:p>
        </w:tc>
        <w:tc>
          <w:tcPr>
            <w:tcW w:type="dxa" w:w="1930"/>
          </w:tcPr>
          <w:p>
            <w:pPr>
              <w:spacing w:after="40"/>
            </w:pPr>
            <w:r/>
            <w:r>
              <w:rPr>
                <w:sz w:val="17"/>
              </w:rPr>
              <w:t>[committee]</w:t>
            </w:r>
          </w:p>
        </w:tc>
        <w:tc>
          <w:tcPr>
            <w:tcW w:type="dxa" w:w="1930"/>
          </w:tcPr>
          <w:p>
            <w:pPr>
              <w:spacing w:after="40"/>
            </w:pPr>
            <w:r/>
            <w:r>
              <w:rPr>
                <w:sz w:val="17"/>
              </w:rPr>
              <w:t>[date]</w:t>
            </w:r>
          </w:p>
        </w:tc>
      </w:tr>
    </w:tbl>
    <w:p>
      <w:pPr>
        <w:spacing w:after="80"/>
      </w:pPr>
    </w:p>
    <w:p>
      <w:pPr>
        <w:spacing w:before="280" w:after="80"/>
      </w:pPr>
      <w:r>
        <w:rPr>
          <w:b/>
          <w:color w:val="3F51B5"/>
          <w:sz w:val="28"/>
        </w:rPr>
        <w:t>Adaptation notes</w:t>
      </w:r>
    </w:p>
    <w:p>
      <w:pPr>
        <w:pStyle w:val="ListBullet"/>
        <w:spacing w:after="80"/>
      </w:pPr>
      <w:r>
        <w:rPr>
          <w:b/>
          <w:sz w:val="21"/>
        </w:rPr>
        <w:t xml:space="preserve">Small organisations: </w:t>
      </w:r>
      <w:r>
        <w:rPr>
          <w:sz w:val="21"/>
        </w:rPr>
        <w:t>Collapse owner, steward, and custodian into one or two people, but keep the domain list — knowing what you hold matters more than the role split.</w:t>
      </w:r>
    </w:p>
    <w:p>
      <w:pPr>
        <w:pStyle w:val="ListBullet"/>
        <w:spacing w:after="80"/>
      </w:pPr>
      <w:r>
        <w:rPr>
          <w:b/>
          <w:sz w:val="21"/>
        </w:rPr>
        <w:t xml:space="preserve">Regulated financial services: </w:t>
      </w:r>
      <w:r>
        <w:rPr>
          <w:sz w:val="21"/>
        </w:rPr>
        <w:t>Map domains to BCBS 239 risk data aggregation principles and align the quality dimensions with existing regulatory reporting controls.</w:t>
      </w:r>
    </w:p>
    <w:p>
      <w:pPr>
        <w:pStyle w:val="ListBullet"/>
        <w:spacing w:after="80"/>
      </w:pPr>
      <w:r>
        <w:rPr>
          <w:b/>
          <w:sz w:val="21"/>
        </w:rPr>
        <w:t xml:space="preserve">Public sector: </w:t>
      </w:r>
      <w:r>
        <w:rPr>
          <w:sz w:val="21"/>
        </w:rPr>
        <w:t>Add a transparency and FOI dimension: openness by default, with classification as the exception rather than the reverse.</w:t>
      </w:r>
    </w:p>
    <w:p>
      <w:pPr>
        <w:pStyle w:val="ListBullet"/>
        <w:spacing w:after="80"/>
      </w:pPr>
      <w:r>
        <w:rPr>
          <w:b/>
          <w:sz w:val="21"/>
        </w:rPr>
        <w:t xml:space="preserve">Data-mesh operating models: </w:t>
      </w:r>
      <w:r>
        <w:rPr>
          <w:sz w:val="21"/>
        </w:rPr>
        <w:t>Domain ownership maps naturally onto data products. Keep this framework as the federated policy layer and let domains own their own quality SLOs.</w:t>
      </w:r>
    </w:p>
    <w:p/>
    <w:p>
      <w:pPr>
        <w:spacing w:before="200"/>
      </w:pPr>
      <w:r>
        <w:rPr>
          <w:i/>
          <w:color w:val="606060"/>
          <w:sz w:val="17"/>
        </w:rPr>
        <w:t>Not legal advice. This template is a head start, not a substitute for professional judgement. Adapt it to your jurisdiction, sector, and risk appetite, and have qualified counsel review anything material before you rely on it.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