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pPr>
      <w:r>
        <w:rPr>
          <w:b/>
          <w:color w:val="3F51B5"/>
          <w:sz w:val="40"/>
        </w:rPr>
        <w:t>Data Classification &amp; Handling Policy</w:t>
      </w:r>
    </w:p>
    <w:p>
      <w:pPr>
        <w:spacing w:after="240"/>
      </w:pPr>
      <w:r>
        <w:rPr>
          <w:i/>
          <w:color w:val="606060"/>
          <w:sz w:val="17"/>
        </w:rPr>
        <w:t>Open Data &amp; AI Governance Kit  ·  Licensed CC BY 4.0  ·  https://lsdeva.github.io/governance-kit/</w:t>
      </w:r>
    </w:p>
    <w:p>
      <w:pPr>
        <w:spacing w:after="120"/>
      </w:pPr>
      <w:r>
        <w:rPr>
          <w:b/>
          <w:sz w:val="21"/>
        </w:rPr>
        <w:t xml:space="preserve">Purpose. </w:t>
      </w:r>
      <w:r>
        <w:rPr>
          <w:sz w:val="21"/>
        </w:rPr>
        <w:t>Defines the sensitivity tiers your data falls into and the handling rules for each — including the rules that decide what may be pasted into an AI tool.</w:t>
      </w:r>
    </w:p>
    <w:p>
      <w:pPr>
        <w:spacing w:after="120"/>
      </w:pPr>
      <w:r>
        <w:rPr>
          <w:b/>
          <w:sz w:val="21"/>
        </w:rPr>
        <w:t xml:space="preserve">When to use it. </w:t>
      </w:r>
      <w:r>
        <w:rPr>
          <w:sz w:val="21"/>
        </w:rPr>
        <w:t>Early. Classification underpins access control, AI input rules, and most security decisions. Review annually.</w:t>
      </w:r>
    </w:p>
    <w:p>
      <w:pPr>
        <w:spacing w:after="120"/>
      </w:pPr>
      <w:r>
        <w:rPr>
          <w:b/>
          <w:sz w:val="21"/>
        </w:rPr>
        <w:t xml:space="preserve">How to use it. </w:t>
      </w:r>
      <w:r>
        <w:rPr>
          <w:sz w:val="21"/>
        </w:rPr>
        <w:t>Use four tiers at most; every tier beyond that is one people will not remember. The AI handling row in section 2 is the part staff will actually look up — make sure it names specific approved tools, not a category.</w:t>
      </w:r>
    </w:p>
    <w:p/>
    <w:p>
      <w:pPr>
        <w:spacing w:before="200" w:after="80"/>
      </w:pPr>
      <w:r>
        <w:rPr>
          <w:b/>
          <w:color w:val="3F51B5"/>
          <w:sz w:val="24"/>
        </w:rPr>
        <w:t>1. Classification tiers</w:t>
      </w:r>
    </w:p>
    <w:tbl>
      <w:tblPr>
        <w:tblStyle w:val="TableGrid"/>
        <w:tblW w:type="auto" w:w="0"/>
        <w:jc w:val="center"/>
        <w:tblLook w:firstColumn="1" w:firstRow="1" w:lastColumn="0" w:lastRow="0" w:noHBand="0" w:noVBand="1" w:val="04A0"/>
      </w:tblPr>
      <w:tblGrid>
        <w:gridCol w:w="2412"/>
        <w:gridCol w:w="2412"/>
        <w:gridCol w:w="2412"/>
        <w:gridCol w:w="2412"/>
      </w:tblGrid>
      <w:tr>
        <w:tc>
          <w:tcPr>
            <w:tcW w:type="dxa" w:w="2412"/>
          </w:tcPr>
          <w:p>
            <w:pPr>
              <w:spacing w:after="40"/>
            </w:pPr>
            <w:r/>
            <w:r>
              <w:rPr>
                <w:b/>
                <w:sz w:val="17"/>
              </w:rPr>
              <w:t>Tier</w:t>
            </w:r>
          </w:p>
        </w:tc>
        <w:tc>
          <w:tcPr>
            <w:tcW w:type="dxa" w:w="2412"/>
          </w:tcPr>
          <w:p>
            <w:pPr>
              <w:spacing w:after="40"/>
            </w:pPr>
            <w:r/>
            <w:r>
              <w:rPr>
                <w:b/>
                <w:sz w:val="17"/>
              </w:rPr>
              <w:t>Definition</w:t>
            </w:r>
          </w:p>
        </w:tc>
        <w:tc>
          <w:tcPr>
            <w:tcW w:type="dxa" w:w="2412"/>
          </w:tcPr>
          <w:p>
            <w:pPr>
              <w:spacing w:after="40"/>
            </w:pPr>
            <w:r/>
            <w:r>
              <w:rPr>
                <w:b/>
                <w:sz w:val="17"/>
              </w:rPr>
              <w:t>Examples</w:t>
            </w:r>
          </w:p>
        </w:tc>
        <w:tc>
          <w:tcPr>
            <w:tcW w:type="dxa" w:w="2412"/>
          </w:tcPr>
          <w:p>
            <w:pPr>
              <w:spacing w:after="40"/>
            </w:pPr>
            <w:r/>
            <w:r>
              <w:rPr>
                <w:b/>
                <w:sz w:val="17"/>
              </w:rPr>
              <w:t>Impact if disclosed</w:t>
            </w:r>
          </w:p>
        </w:tc>
      </w:tr>
      <w:tr>
        <w:tc>
          <w:tcPr>
            <w:tcW w:type="dxa" w:w="2412"/>
          </w:tcPr>
          <w:p>
            <w:pPr>
              <w:spacing w:after="40"/>
            </w:pPr>
            <w:r/>
            <w:r>
              <w:rPr>
                <w:sz w:val="17"/>
              </w:rPr>
              <w:t>Public</w:t>
            </w:r>
          </w:p>
        </w:tc>
        <w:tc>
          <w:tcPr>
            <w:tcW w:type="dxa" w:w="2412"/>
          </w:tcPr>
          <w:p>
            <w:pPr>
              <w:spacing w:after="40"/>
            </w:pPr>
            <w:r/>
            <w:r>
              <w:rPr>
                <w:sz w:val="17"/>
              </w:rPr>
              <w:t>Approved for public release.</w:t>
            </w:r>
          </w:p>
        </w:tc>
        <w:tc>
          <w:tcPr>
            <w:tcW w:type="dxa" w:w="2412"/>
          </w:tcPr>
          <w:p>
            <w:pPr>
              <w:spacing w:after="40"/>
            </w:pPr>
            <w:r/>
            <w:r>
              <w:rPr>
                <w:sz w:val="17"/>
              </w:rPr>
              <w:t>Published marketing, annual report</w:t>
            </w:r>
          </w:p>
        </w:tc>
        <w:tc>
          <w:tcPr>
            <w:tcW w:type="dxa" w:w="2412"/>
          </w:tcPr>
          <w:p>
            <w:pPr>
              <w:spacing w:after="40"/>
            </w:pPr>
            <w:r/>
            <w:r>
              <w:rPr>
                <w:sz w:val="17"/>
              </w:rPr>
              <w:t>None</w:t>
            </w:r>
          </w:p>
        </w:tc>
      </w:tr>
      <w:tr>
        <w:tc>
          <w:tcPr>
            <w:tcW w:type="dxa" w:w="2412"/>
          </w:tcPr>
          <w:p>
            <w:pPr>
              <w:spacing w:after="40"/>
            </w:pPr>
            <w:r/>
            <w:r>
              <w:rPr>
                <w:sz w:val="17"/>
              </w:rPr>
              <w:t>Internal</w:t>
            </w:r>
          </w:p>
        </w:tc>
        <w:tc>
          <w:tcPr>
            <w:tcW w:type="dxa" w:w="2412"/>
          </w:tcPr>
          <w:p>
            <w:pPr>
              <w:spacing w:after="40"/>
            </w:pPr>
            <w:r/>
            <w:r>
              <w:rPr>
                <w:sz w:val="17"/>
              </w:rPr>
              <w:t>Routine business data.</w:t>
            </w:r>
          </w:p>
        </w:tc>
        <w:tc>
          <w:tcPr>
            <w:tcW w:type="dxa" w:w="2412"/>
          </w:tcPr>
          <w:p>
            <w:pPr>
              <w:spacing w:after="40"/>
            </w:pPr>
            <w:r/>
            <w:r>
              <w:rPr>
                <w:sz w:val="17"/>
              </w:rPr>
              <w:t>Internal comms, non-sensitive analytics</w:t>
            </w:r>
          </w:p>
        </w:tc>
        <w:tc>
          <w:tcPr>
            <w:tcW w:type="dxa" w:w="2412"/>
          </w:tcPr>
          <w:p>
            <w:pPr>
              <w:spacing w:after="40"/>
            </w:pPr>
            <w:r/>
            <w:r>
              <w:rPr>
                <w:sz w:val="17"/>
              </w:rPr>
              <w:t>Minor</w:t>
            </w:r>
          </w:p>
        </w:tc>
      </w:tr>
      <w:tr>
        <w:tc>
          <w:tcPr>
            <w:tcW w:type="dxa" w:w="2412"/>
          </w:tcPr>
          <w:p>
            <w:pPr>
              <w:spacing w:after="40"/>
            </w:pPr>
            <w:r/>
            <w:r>
              <w:rPr>
                <w:sz w:val="17"/>
              </w:rPr>
              <w:t>Confidential</w:t>
            </w:r>
          </w:p>
        </w:tc>
        <w:tc>
          <w:tcPr>
            <w:tcW w:type="dxa" w:w="2412"/>
          </w:tcPr>
          <w:p>
            <w:pPr>
              <w:spacing w:after="40"/>
            </w:pPr>
            <w:r/>
            <w:r>
              <w:rPr>
                <w:sz w:val="17"/>
              </w:rPr>
              <w:t>Sensitive business or personal data.</w:t>
            </w:r>
          </w:p>
        </w:tc>
        <w:tc>
          <w:tcPr>
            <w:tcW w:type="dxa" w:w="2412"/>
          </w:tcPr>
          <w:p>
            <w:pPr>
              <w:spacing w:after="40"/>
            </w:pPr>
            <w:r/>
            <w:r>
              <w:rPr>
                <w:sz w:val="17"/>
              </w:rPr>
              <w:t>Customer records, employee data, contracts</w:t>
            </w:r>
          </w:p>
        </w:tc>
        <w:tc>
          <w:tcPr>
            <w:tcW w:type="dxa" w:w="2412"/>
          </w:tcPr>
          <w:p>
            <w:pPr>
              <w:spacing w:after="40"/>
            </w:pPr>
            <w:r/>
            <w:r>
              <w:rPr>
                <w:sz w:val="17"/>
              </w:rPr>
              <w:t>Significant</w:t>
            </w:r>
          </w:p>
        </w:tc>
      </w:tr>
      <w:tr>
        <w:tc>
          <w:tcPr>
            <w:tcW w:type="dxa" w:w="2412"/>
          </w:tcPr>
          <w:p>
            <w:pPr>
              <w:spacing w:after="40"/>
            </w:pPr>
            <w:r/>
            <w:r>
              <w:rPr>
                <w:sz w:val="17"/>
              </w:rPr>
              <w:t>Restricted</w:t>
            </w:r>
          </w:p>
        </w:tc>
        <w:tc>
          <w:tcPr>
            <w:tcW w:type="dxa" w:w="2412"/>
          </w:tcPr>
          <w:p>
            <w:pPr>
              <w:spacing w:after="40"/>
            </w:pPr>
            <w:r/>
            <w:r>
              <w:rPr>
                <w:sz w:val="17"/>
              </w:rPr>
              <w:t>Most sensitive; severe impact.</w:t>
            </w:r>
          </w:p>
        </w:tc>
        <w:tc>
          <w:tcPr>
            <w:tcW w:type="dxa" w:w="2412"/>
          </w:tcPr>
          <w:p>
            <w:pPr>
              <w:spacing w:after="40"/>
            </w:pPr>
            <w:r/>
            <w:r>
              <w:rPr>
                <w:sz w:val="17"/>
              </w:rPr>
              <w:t>Special category data, credentials, M&amp;A, security detail</w:t>
            </w:r>
          </w:p>
        </w:tc>
        <w:tc>
          <w:tcPr>
            <w:tcW w:type="dxa" w:w="2412"/>
          </w:tcPr>
          <w:p>
            <w:pPr>
              <w:spacing w:after="40"/>
            </w:pPr>
            <w:r/>
            <w:r>
              <w:rPr>
                <w:sz w:val="17"/>
              </w:rPr>
              <w:t>Severe</w:t>
            </w:r>
          </w:p>
        </w:tc>
      </w:tr>
    </w:tbl>
    <w:p>
      <w:pPr>
        <w:spacing w:after="80"/>
      </w:pPr>
    </w:p>
    <w:p>
      <w:pPr>
        <w:spacing w:before="200" w:after="80"/>
      </w:pPr>
      <w:r>
        <w:rPr>
          <w:b/>
          <w:color w:val="3F51B5"/>
          <w:sz w:val="24"/>
        </w:rPr>
        <w:t>2. Handling rules</w:t>
      </w:r>
    </w:p>
    <w:tbl>
      <w:tblPr>
        <w:tblStyle w:val="TableGrid"/>
        <w:tblW w:type="auto" w:w="0"/>
        <w:jc w:val="center"/>
        <w:tblLook w:firstColumn="1" w:firstRow="1" w:lastColumn="0" w:lastRow="0" w:noHBand="0" w:noVBand="1" w:val="04A0"/>
      </w:tblPr>
      <w:tblGrid>
        <w:gridCol w:w="1930"/>
        <w:gridCol w:w="1930"/>
        <w:gridCol w:w="1930"/>
        <w:gridCol w:w="1930"/>
        <w:gridCol w:w="1930"/>
      </w:tblGrid>
      <w:tr>
        <w:tc>
          <w:tcPr>
            <w:tcW w:type="dxa" w:w="1930"/>
          </w:tcPr>
          <w:p>
            <w:pPr>
              <w:spacing w:after="40"/>
            </w:pPr>
            <w:r/>
            <w:r>
              <w:rPr>
                <w:b/>
                <w:sz w:val="17"/>
              </w:rPr>
              <w:t>Control</w:t>
            </w:r>
          </w:p>
        </w:tc>
        <w:tc>
          <w:tcPr>
            <w:tcW w:type="dxa" w:w="1930"/>
          </w:tcPr>
          <w:p>
            <w:pPr>
              <w:spacing w:after="40"/>
            </w:pPr>
            <w:r/>
            <w:r>
              <w:rPr>
                <w:b/>
                <w:sz w:val="17"/>
              </w:rPr>
              <w:t>Public</w:t>
            </w:r>
          </w:p>
        </w:tc>
        <w:tc>
          <w:tcPr>
            <w:tcW w:type="dxa" w:w="1930"/>
          </w:tcPr>
          <w:p>
            <w:pPr>
              <w:spacing w:after="40"/>
            </w:pPr>
            <w:r/>
            <w:r>
              <w:rPr>
                <w:b/>
                <w:sz w:val="17"/>
              </w:rPr>
              <w:t>Internal</w:t>
            </w:r>
          </w:p>
        </w:tc>
        <w:tc>
          <w:tcPr>
            <w:tcW w:type="dxa" w:w="1930"/>
          </w:tcPr>
          <w:p>
            <w:pPr>
              <w:spacing w:after="40"/>
            </w:pPr>
            <w:r/>
            <w:r>
              <w:rPr>
                <w:b/>
                <w:sz w:val="17"/>
              </w:rPr>
              <w:t>Confidential</w:t>
            </w:r>
          </w:p>
        </w:tc>
        <w:tc>
          <w:tcPr>
            <w:tcW w:type="dxa" w:w="1930"/>
          </w:tcPr>
          <w:p>
            <w:pPr>
              <w:spacing w:after="40"/>
            </w:pPr>
            <w:r/>
            <w:r>
              <w:rPr>
                <w:b/>
                <w:sz w:val="17"/>
              </w:rPr>
              <w:t>Restricted</w:t>
            </w:r>
          </w:p>
        </w:tc>
      </w:tr>
      <w:tr>
        <w:tc>
          <w:tcPr>
            <w:tcW w:type="dxa" w:w="1930"/>
          </w:tcPr>
          <w:p>
            <w:pPr>
              <w:spacing w:after="40"/>
            </w:pPr>
            <w:r/>
            <w:r>
              <w:rPr>
                <w:sz w:val="17"/>
              </w:rPr>
              <w:t>Storage</w:t>
            </w:r>
          </w:p>
        </w:tc>
        <w:tc>
          <w:tcPr>
            <w:tcW w:type="dxa" w:w="1930"/>
          </w:tcPr>
          <w:p>
            <w:pPr>
              <w:spacing w:after="40"/>
            </w:pPr>
            <w:r/>
            <w:r>
              <w:rPr>
                <w:sz w:val="17"/>
              </w:rPr>
              <w:t>Any approved</w:t>
            </w:r>
          </w:p>
        </w:tc>
        <w:tc>
          <w:tcPr>
            <w:tcW w:type="dxa" w:w="1930"/>
          </w:tcPr>
          <w:p>
            <w:pPr>
              <w:spacing w:after="40"/>
            </w:pPr>
            <w:r/>
            <w:r>
              <w:rPr>
                <w:sz w:val="17"/>
              </w:rPr>
              <w:t>Approved systems</w:t>
            </w:r>
          </w:p>
        </w:tc>
        <w:tc>
          <w:tcPr>
            <w:tcW w:type="dxa" w:w="1930"/>
          </w:tcPr>
          <w:p>
            <w:pPr>
              <w:spacing w:after="40"/>
            </w:pPr>
            <w:r/>
            <w:r>
              <w:rPr>
                <w:sz w:val="17"/>
              </w:rPr>
              <w:t>Approved + access control</w:t>
            </w:r>
          </w:p>
        </w:tc>
        <w:tc>
          <w:tcPr>
            <w:tcW w:type="dxa" w:w="1930"/>
          </w:tcPr>
          <w:p>
            <w:pPr>
              <w:spacing w:after="40"/>
            </w:pPr>
            <w:r/>
            <w:r>
              <w:rPr>
                <w:sz w:val="17"/>
              </w:rPr>
              <w:t>Approved + encryption + logging</w:t>
            </w:r>
          </w:p>
        </w:tc>
      </w:tr>
      <w:tr>
        <w:tc>
          <w:tcPr>
            <w:tcW w:type="dxa" w:w="1930"/>
          </w:tcPr>
          <w:p>
            <w:pPr>
              <w:spacing w:after="40"/>
            </w:pPr>
            <w:r/>
            <w:r>
              <w:rPr>
                <w:sz w:val="17"/>
              </w:rPr>
              <w:t>Access</w:t>
            </w:r>
          </w:p>
        </w:tc>
        <w:tc>
          <w:tcPr>
            <w:tcW w:type="dxa" w:w="1930"/>
          </w:tcPr>
          <w:p>
            <w:pPr>
              <w:spacing w:after="40"/>
            </w:pPr>
            <w:r/>
            <w:r>
              <w:rPr>
                <w:sz w:val="17"/>
              </w:rPr>
              <w:t>Open</w:t>
            </w:r>
          </w:p>
        </w:tc>
        <w:tc>
          <w:tcPr>
            <w:tcW w:type="dxa" w:w="1930"/>
          </w:tcPr>
          <w:p>
            <w:pPr>
              <w:spacing w:after="40"/>
            </w:pPr>
            <w:r/>
            <w:r>
              <w:rPr>
                <w:sz w:val="17"/>
              </w:rPr>
              <w:t>All staff</w:t>
            </w:r>
          </w:p>
        </w:tc>
        <w:tc>
          <w:tcPr>
            <w:tcW w:type="dxa" w:w="1930"/>
          </w:tcPr>
          <w:p>
            <w:pPr>
              <w:spacing w:after="40"/>
            </w:pPr>
            <w:r/>
            <w:r>
              <w:rPr>
                <w:sz w:val="17"/>
              </w:rPr>
              <w:t>Role-based, owner-approved</w:t>
            </w:r>
          </w:p>
        </w:tc>
        <w:tc>
          <w:tcPr>
            <w:tcW w:type="dxa" w:w="1930"/>
          </w:tcPr>
          <w:p>
            <w:pPr>
              <w:spacing w:after="40"/>
            </w:pPr>
            <w:r/>
            <w:r>
              <w:rPr>
                <w:sz w:val="17"/>
              </w:rPr>
              <w:t>Named individuals, owner-approved</w:t>
            </w:r>
          </w:p>
        </w:tc>
      </w:tr>
      <w:tr>
        <w:tc>
          <w:tcPr>
            <w:tcW w:type="dxa" w:w="1930"/>
          </w:tcPr>
          <w:p>
            <w:pPr>
              <w:spacing w:after="40"/>
            </w:pPr>
            <w:r/>
            <w:r>
              <w:rPr>
                <w:sz w:val="17"/>
              </w:rPr>
              <w:t>Sharing externally</w:t>
            </w:r>
          </w:p>
        </w:tc>
        <w:tc>
          <w:tcPr>
            <w:tcW w:type="dxa" w:w="1930"/>
          </w:tcPr>
          <w:p>
            <w:pPr>
              <w:spacing w:after="40"/>
            </w:pPr>
            <w:r/>
            <w:r>
              <w:rPr>
                <w:sz w:val="17"/>
              </w:rPr>
              <w:t>Free</w:t>
            </w:r>
          </w:p>
        </w:tc>
        <w:tc>
          <w:tcPr>
            <w:tcW w:type="dxa" w:w="1930"/>
          </w:tcPr>
          <w:p>
            <w:pPr>
              <w:spacing w:after="40"/>
            </w:pPr>
            <w:r/>
            <w:r>
              <w:rPr>
                <w:sz w:val="17"/>
              </w:rPr>
              <w:t>NDA</w:t>
            </w:r>
          </w:p>
        </w:tc>
        <w:tc>
          <w:tcPr>
            <w:tcW w:type="dxa" w:w="1930"/>
          </w:tcPr>
          <w:p>
            <w:pPr>
              <w:spacing w:after="40"/>
            </w:pPr>
            <w:r/>
            <w:r>
              <w:rPr>
                <w:sz w:val="17"/>
              </w:rPr>
              <w:t>Contract + DPA</w:t>
            </w:r>
          </w:p>
        </w:tc>
        <w:tc>
          <w:tcPr>
            <w:tcW w:type="dxa" w:w="1930"/>
          </w:tcPr>
          <w:p>
            <w:pPr>
              <w:spacing w:after="40"/>
            </w:pPr>
            <w:r/>
            <w:r>
              <w:rPr>
                <w:sz w:val="17"/>
              </w:rPr>
              <w:t>Owner + Legal approval</w:t>
            </w:r>
          </w:p>
        </w:tc>
      </w:tr>
      <w:tr>
        <w:tc>
          <w:tcPr>
            <w:tcW w:type="dxa" w:w="1930"/>
          </w:tcPr>
          <w:p>
            <w:pPr>
              <w:spacing w:after="40"/>
            </w:pPr>
            <w:r/>
            <w:r>
              <w:rPr>
                <w:sz w:val="17"/>
              </w:rPr>
              <w:t>Email</w:t>
            </w:r>
          </w:p>
        </w:tc>
        <w:tc>
          <w:tcPr>
            <w:tcW w:type="dxa" w:w="1930"/>
          </w:tcPr>
          <w:p>
            <w:pPr>
              <w:spacing w:after="40"/>
            </w:pPr>
            <w:r/>
            <w:r>
              <w:rPr>
                <w:sz w:val="17"/>
              </w:rPr>
              <w:t>Permitted</w:t>
            </w:r>
          </w:p>
        </w:tc>
        <w:tc>
          <w:tcPr>
            <w:tcW w:type="dxa" w:w="1930"/>
          </w:tcPr>
          <w:p>
            <w:pPr>
              <w:spacing w:after="40"/>
            </w:pPr>
            <w:r/>
            <w:r>
              <w:rPr>
                <w:sz w:val="17"/>
              </w:rPr>
              <w:t>Permitted</w:t>
            </w:r>
          </w:p>
        </w:tc>
        <w:tc>
          <w:tcPr>
            <w:tcW w:type="dxa" w:w="1930"/>
          </w:tcPr>
          <w:p>
            <w:pPr>
              <w:spacing w:after="40"/>
            </w:pPr>
            <w:r/>
            <w:r>
              <w:rPr>
                <w:sz w:val="17"/>
              </w:rPr>
              <w:t>Encrypted</w:t>
            </w:r>
          </w:p>
        </w:tc>
        <w:tc>
          <w:tcPr>
            <w:tcW w:type="dxa" w:w="1930"/>
          </w:tcPr>
          <w:p>
            <w:pPr>
              <w:spacing w:after="40"/>
            </w:pPr>
            <w:r/>
            <w:r>
              <w:rPr>
                <w:sz w:val="17"/>
              </w:rPr>
              <w:t>Not permitted — secure transfer only</w:t>
            </w:r>
          </w:p>
        </w:tc>
      </w:tr>
      <w:tr>
        <w:tc>
          <w:tcPr>
            <w:tcW w:type="dxa" w:w="1930"/>
          </w:tcPr>
          <w:p>
            <w:pPr>
              <w:spacing w:after="40"/>
            </w:pPr>
            <w:r/>
            <w:r>
              <w:rPr>
                <w:sz w:val="17"/>
              </w:rPr>
              <w:t>AI tool input</w:t>
            </w:r>
          </w:p>
        </w:tc>
        <w:tc>
          <w:tcPr>
            <w:tcW w:type="dxa" w:w="1930"/>
          </w:tcPr>
          <w:p>
            <w:pPr>
              <w:spacing w:after="40"/>
            </w:pPr>
            <w:r/>
            <w:r>
              <w:rPr>
                <w:sz w:val="17"/>
              </w:rPr>
              <w:t>Permitted</w:t>
            </w:r>
          </w:p>
        </w:tc>
        <w:tc>
          <w:tcPr>
            <w:tcW w:type="dxa" w:w="1930"/>
          </w:tcPr>
          <w:p>
            <w:pPr>
              <w:spacing w:after="40"/>
            </w:pPr>
            <w:r/>
            <w:r>
              <w:rPr>
                <w:sz w:val="17"/>
              </w:rPr>
              <w:t>Approved tools only</w:t>
            </w:r>
          </w:p>
        </w:tc>
        <w:tc>
          <w:tcPr>
            <w:tcW w:type="dxa" w:w="1930"/>
          </w:tcPr>
          <w:p>
            <w:pPr>
              <w:spacing w:after="40"/>
            </w:pPr>
            <w:r/>
            <w:r>
              <w:rPr>
                <w:sz w:val="17"/>
              </w:rPr>
              <w:t>Approved enterprise tools with no-training guarantee</w:t>
            </w:r>
          </w:p>
        </w:tc>
        <w:tc>
          <w:tcPr>
            <w:tcW w:type="dxa" w:w="1930"/>
          </w:tcPr>
          <w:p>
            <w:pPr>
              <w:spacing w:after="40"/>
            </w:pPr>
            <w:r/>
            <w:r>
              <w:rPr>
                <w:sz w:val="17"/>
              </w:rPr>
              <w:t>Prohibited unless explicitly approved for that system</w:t>
            </w:r>
          </w:p>
        </w:tc>
      </w:tr>
      <w:tr>
        <w:tc>
          <w:tcPr>
            <w:tcW w:type="dxa" w:w="1930"/>
          </w:tcPr>
          <w:p>
            <w:pPr>
              <w:spacing w:after="40"/>
            </w:pPr>
            <w:r/>
            <w:r>
              <w:rPr>
                <w:sz w:val="17"/>
              </w:rPr>
              <w:t>Retention</w:t>
            </w:r>
          </w:p>
        </w:tc>
        <w:tc>
          <w:tcPr>
            <w:tcW w:type="dxa" w:w="1930"/>
          </w:tcPr>
          <w:p>
            <w:pPr>
              <w:spacing w:after="40"/>
            </w:pPr>
            <w:r/>
            <w:r>
              <w:rPr>
                <w:sz w:val="17"/>
              </w:rPr>
              <w:t>Per schedule</w:t>
            </w:r>
          </w:p>
        </w:tc>
        <w:tc>
          <w:tcPr>
            <w:tcW w:type="dxa" w:w="1930"/>
          </w:tcPr>
          <w:p>
            <w:pPr>
              <w:spacing w:after="40"/>
            </w:pPr>
            <w:r/>
            <w:r>
              <w:rPr>
                <w:sz w:val="17"/>
              </w:rPr>
              <w:t>Per schedule</w:t>
            </w:r>
          </w:p>
        </w:tc>
        <w:tc>
          <w:tcPr>
            <w:tcW w:type="dxa" w:w="1930"/>
          </w:tcPr>
          <w:p>
            <w:pPr>
              <w:spacing w:after="40"/>
            </w:pPr>
            <w:r/>
            <w:r>
              <w:rPr>
                <w:sz w:val="17"/>
              </w:rPr>
              <w:t>Per schedule + review</w:t>
            </w:r>
          </w:p>
        </w:tc>
        <w:tc>
          <w:tcPr>
            <w:tcW w:type="dxa" w:w="1930"/>
          </w:tcPr>
          <w:p>
            <w:pPr>
              <w:spacing w:after="40"/>
            </w:pPr>
            <w:r/>
            <w:r>
              <w:rPr>
                <w:sz w:val="17"/>
              </w:rPr>
              <w:t>Per schedule + documented review</w:t>
            </w:r>
          </w:p>
        </w:tc>
      </w:tr>
      <w:tr>
        <w:tc>
          <w:tcPr>
            <w:tcW w:type="dxa" w:w="1930"/>
          </w:tcPr>
          <w:p>
            <w:pPr>
              <w:spacing w:after="40"/>
            </w:pPr>
            <w:r/>
            <w:r>
              <w:rPr>
                <w:sz w:val="17"/>
              </w:rPr>
              <w:t>Disposal</w:t>
            </w:r>
          </w:p>
        </w:tc>
        <w:tc>
          <w:tcPr>
            <w:tcW w:type="dxa" w:w="1930"/>
          </w:tcPr>
          <w:p>
            <w:pPr>
              <w:spacing w:after="40"/>
            </w:pPr>
            <w:r/>
            <w:r>
              <w:rPr>
                <w:sz w:val="17"/>
              </w:rPr>
              <w:t>Standard</w:t>
            </w:r>
          </w:p>
        </w:tc>
        <w:tc>
          <w:tcPr>
            <w:tcW w:type="dxa" w:w="1930"/>
          </w:tcPr>
          <w:p>
            <w:pPr>
              <w:spacing w:after="40"/>
            </w:pPr>
            <w:r/>
            <w:r>
              <w:rPr>
                <w:sz w:val="17"/>
              </w:rPr>
              <w:t>Standard</w:t>
            </w:r>
          </w:p>
        </w:tc>
        <w:tc>
          <w:tcPr>
            <w:tcW w:type="dxa" w:w="1930"/>
          </w:tcPr>
          <w:p>
            <w:pPr>
              <w:spacing w:after="40"/>
            </w:pPr>
            <w:r/>
            <w:r>
              <w:rPr>
                <w:sz w:val="17"/>
              </w:rPr>
              <w:t>Verified</w:t>
            </w:r>
          </w:p>
        </w:tc>
        <w:tc>
          <w:tcPr>
            <w:tcW w:type="dxa" w:w="1930"/>
          </w:tcPr>
          <w:p>
            <w:pPr>
              <w:spacing w:after="40"/>
            </w:pPr>
            <w:r/>
            <w:r>
              <w:rPr>
                <w:sz w:val="17"/>
              </w:rPr>
              <w:t>Verified + certificate</w:t>
            </w:r>
          </w:p>
        </w:tc>
      </w:tr>
    </w:tbl>
    <w:p>
      <w:pPr>
        <w:spacing w:after="80"/>
      </w:pPr>
    </w:p>
    <w:p>
      <w:pPr>
        <w:spacing w:before="160" w:after="80"/>
      </w:pPr>
      <w:r>
        <w:rPr>
          <w:b/>
          <w:color w:val="3F51B5"/>
          <w:sz w:val="20"/>
        </w:rPr>
        <w:t>The AI row is the one that gets breached</w:t>
      </w:r>
    </w:p>
    <w:p>
      <w:pPr>
        <w:spacing w:after="120"/>
      </w:pPr>
      <w:r>
        <w:rPr>
          <w:i/>
          <w:color w:val="606060"/>
          <w:sz w:val="20"/>
        </w:rPr>
        <w:t>Staff paste customer data into public chatbots because it is convenient and the rule was not to hand. Publish this row separately, name the approved tools, and put it where people work.</w:t>
      </w:r>
    </w:p>
    <w:p>
      <w:pPr>
        <w:spacing w:before="200" w:after="80"/>
      </w:pPr>
      <w:r>
        <w:rPr>
          <w:b/>
          <w:color w:val="3F51B5"/>
          <w:sz w:val="24"/>
        </w:rPr>
        <w:t>3. Applying a classification</w:t>
      </w:r>
    </w:p>
    <w:p>
      <w:pPr>
        <w:pStyle w:val="ListNumber"/>
        <w:spacing w:after="60"/>
      </w:pPr>
      <w:r>
        <w:rPr>
          <w:sz w:val="21"/>
        </w:rPr>
        <w:t>The Data Owner assigns the classification at creation or acquisition.</w:t>
      </w:r>
    </w:p>
    <w:p>
      <w:pPr>
        <w:pStyle w:val="ListNumber"/>
        <w:spacing w:after="60"/>
      </w:pPr>
      <w:r>
        <w:rPr>
          <w:sz w:val="21"/>
        </w:rPr>
        <w:t>Where a dataset holds mixed tiers, **the highest tier applies to the whole set** unless it is separated.</w:t>
      </w:r>
    </w:p>
    <w:p>
      <w:pPr>
        <w:pStyle w:val="ListNumber"/>
        <w:spacing w:after="60"/>
      </w:pPr>
      <w:r>
        <w:rPr>
          <w:sz w:val="21"/>
        </w:rPr>
        <w:t>Classification is recorded in the Data Asset Register.</w:t>
      </w:r>
    </w:p>
    <w:p>
      <w:pPr>
        <w:pStyle w:val="ListNumber"/>
        <w:spacing w:after="60"/>
      </w:pPr>
      <w:r>
        <w:rPr>
          <w:sz w:val="21"/>
        </w:rPr>
        <w:t>Derived data — including model outputs and embeddings — inherits the classification of its most sensitive input unless a documented assessment lowers it.</w:t>
      </w:r>
    </w:p>
    <w:p>
      <w:pPr>
        <w:spacing w:before="160" w:after="80"/>
      </w:pPr>
      <w:r>
        <w:rPr>
          <w:b/>
          <w:color w:val="3F51B5"/>
          <w:sz w:val="20"/>
        </w:rPr>
        <w:t>Derived data inherits</w:t>
      </w:r>
    </w:p>
    <w:p>
      <w:pPr>
        <w:spacing w:after="120"/>
      </w:pPr>
      <w:r>
        <w:rPr>
          <w:i/>
          <w:color w:val="606060"/>
          <w:sz w:val="20"/>
        </w:rPr>
        <w:t>Embeddings and model outputs derived from Confidential data are Confidential. This is routinely missed, and it is how sensitive data ends up in an unprotected vector store.</w:t>
      </w:r>
    </w:p>
    <w:p>
      <w:pPr>
        <w:spacing w:before="200" w:after="80"/>
      </w:pPr>
      <w:r>
        <w:rPr>
          <w:b/>
          <w:color w:val="3F51B5"/>
          <w:sz w:val="24"/>
        </w:rPr>
        <w:t>4. Special category &amp; regulated data</w:t>
      </w:r>
    </w:p>
    <w:p>
      <w:pPr>
        <w:spacing w:after="120"/>
      </w:pPr>
      <w:r>
        <w:rPr>
          <w:i w:val="0"/>
          <w:sz w:val="21"/>
        </w:rPr>
        <w:t>Special category personal data, criminal offence data, children's data, and payment card data carry additional requirements — see Processing Dpia Log. Default these to Restricted unless assessed otherwise.</w:t>
      </w:r>
    </w:p>
    <w:p>
      <w:pPr>
        <w:spacing w:before="200" w:after="80"/>
      </w:pPr>
      <w:r>
        <w:rPr>
          <w:b/>
          <w:color w:val="3F51B5"/>
          <w:sz w:val="24"/>
        </w:rPr>
        <w:t>5. Labelling</w:t>
      </w:r>
    </w:p>
    <w:p>
      <w:pPr>
        <w:spacing w:after="120"/>
      </w:pPr>
      <w:r>
        <w:rPr>
          <w:i w:val="0"/>
          <w:sz w:val="21"/>
        </w:rPr>
        <w:t>Where the platform supports it, apply the label in the tool. Where it does not, record classification in the register. [Specify your labelling mechanism.]</w:t>
      </w:r>
    </w:p>
    <w:p>
      <w:pPr>
        <w:spacing w:before="200" w:after="80"/>
      </w:pPr>
      <w:r>
        <w:rPr>
          <w:b/>
          <w:color w:val="3F51B5"/>
          <w:sz w:val="24"/>
        </w:rPr>
        <w:t>6. Review</w:t>
      </w:r>
    </w:p>
    <w:tbl>
      <w:tblPr>
        <w:tblStyle w:val="TableGrid"/>
        <w:tblW w:type="auto" w:w="0"/>
        <w:jc w:val="center"/>
        <w:tblLook w:firstColumn="1" w:firstRow="1" w:lastColumn="0" w:lastRow="0" w:noHBand="0" w:noVBand="1" w:val="04A0"/>
      </w:tblPr>
      <w:tblGrid>
        <w:gridCol w:w="2412"/>
        <w:gridCol w:w="2412"/>
        <w:gridCol w:w="2412"/>
        <w:gridCol w:w="2412"/>
      </w:tblGrid>
      <w:tr>
        <w:tc>
          <w:tcPr>
            <w:tcW w:type="dxa" w:w="2412"/>
          </w:tcPr>
          <w:p>
            <w:pPr>
              <w:spacing w:after="40"/>
            </w:pPr>
            <w:r/>
            <w:r>
              <w:rPr>
                <w:b/>
                <w:sz w:val="17"/>
              </w:rPr>
              <w:t>Version</w:t>
            </w:r>
          </w:p>
        </w:tc>
        <w:tc>
          <w:tcPr>
            <w:tcW w:type="dxa" w:w="2412"/>
          </w:tcPr>
          <w:p>
            <w:pPr>
              <w:spacing w:after="40"/>
            </w:pPr>
            <w:r/>
            <w:r>
              <w:rPr>
                <w:b/>
                <w:sz w:val="17"/>
              </w:rPr>
              <w:t>Date</w:t>
            </w:r>
          </w:p>
        </w:tc>
        <w:tc>
          <w:tcPr>
            <w:tcW w:type="dxa" w:w="2412"/>
          </w:tcPr>
          <w:p>
            <w:pPr>
              <w:spacing w:after="40"/>
            </w:pPr>
            <w:r/>
            <w:r>
              <w:rPr>
                <w:b/>
                <w:sz w:val="17"/>
              </w:rPr>
              <w:t>Owner</w:t>
            </w:r>
          </w:p>
        </w:tc>
        <w:tc>
          <w:tcPr>
            <w:tcW w:type="dxa" w:w="2412"/>
          </w:tcPr>
          <w:p>
            <w:pPr>
              <w:spacing w:after="40"/>
            </w:pPr>
            <w:r/>
            <w:r>
              <w:rPr>
                <w:b/>
                <w:sz w:val="17"/>
              </w:rPr>
              <w:t>Approved by</w:t>
            </w:r>
          </w:p>
        </w:tc>
      </w:tr>
      <w:tr>
        <w:tc>
          <w:tcPr>
            <w:tcW w:type="dxa" w:w="2412"/>
          </w:tcPr>
          <w:p>
            <w:pPr>
              <w:spacing w:after="40"/>
            </w:pPr>
            <w:r/>
            <w:r>
              <w:rPr>
                <w:sz w:val="17"/>
              </w:rPr>
              <w:t>0.1</w:t>
            </w:r>
          </w:p>
        </w:tc>
        <w:tc>
          <w:tcPr>
            <w:tcW w:type="dxa" w:w="2412"/>
          </w:tcPr>
          <w:p>
            <w:pPr>
              <w:spacing w:after="40"/>
            </w:pPr>
            <w:r/>
            <w:r>
              <w:rPr>
                <w:sz w:val="17"/>
              </w:rPr>
              <w:t>[date]</w:t>
            </w:r>
          </w:p>
        </w:tc>
        <w:tc>
          <w:tcPr>
            <w:tcW w:type="dxa" w:w="2412"/>
          </w:tcPr>
          <w:p>
            <w:pPr>
              <w:spacing w:after="40"/>
            </w:pPr>
            <w:r/>
            <w:r>
              <w:rPr>
                <w:sz w:val="17"/>
              </w:rPr>
              <w:t>[role]</w:t>
            </w:r>
          </w:p>
        </w:tc>
        <w:tc>
          <w:tcPr>
            <w:tcW w:type="dxa" w:w="2412"/>
          </w:tcPr>
          <w:p>
            <w:pPr>
              <w:spacing w:after="40"/>
            </w:pPr>
            <w:r/>
            <w:r>
              <w:rPr>
                <w:sz w:val="17"/>
              </w:rPr>
              <w:t>[committee]</w:t>
            </w:r>
          </w:p>
        </w:tc>
      </w:tr>
    </w:tbl>
    <w:p>
      <w:pPr>
        <w:spacing w:after="80"/>
      </w:pPr>
    </w:p>
    <w:p>
      <w:pPr>
        <w:spacing w:before="280" w:after="80"/>
      </w:pPr>
      <w:r>
        <w:rPr>
          <w:b/>
          <w:color w:val="3F51B5"/>
          <w:sz w:val="28"/>
        </w:rPr>
        <w:t>Adaptation notes</w:t>
      </w:r>
    </w:p>
    <w:p>
      <w:pPr>
        <w:pStyle w:val="ListBullet"/>
        <w:spacing w:after="80"/>
      </w:pPr>
      <w:r>
        <w:rPr>
          <w:b/>
          <w:sz w:val="21"/>
        </w:rPr>
        <w:t xml:space="preserve">Small organisations: </w:t>
      </w:r>
      <w:r>
        <w:rPr>
          <w:sz w:val="21"/>
        </w:rPr>
        <w:t>Three tiers — Public, Internal, Confidential — is usually enough. Keep the AI input row regardless; it is the highest-value line in the policy.</w:t>
      </w:r>
    </w:p>
    <w:p>
      <w:pPr>
        <w:pStyle w:val="ListBullet"/>
        <w:spacing w:after="80"/>
      </w:pPr>
      <w:r>
        <w:rPr>
          <w:b/>
          <w:sz w:val="21"/>
        </w:rPr>
        <w:t xml:space="preserve">Existing security classification: </w:t>
      </w:r>
      <w:r>
        <w:rPr>
          <w:sz w:val="21"/>
        </w:rPr>
        <w:t>Do not create a competing scheme. Map onto what security already uses and add only the AI handling row.</w:t>
      </w:r>
    </w:p>
    <w:p>
      <w:pPr>
        <w:pStyle w:val="ListBullet"/>
        <w:spacing w:after="80"/>
      </w:pPr>
      <w:r>
        <w:rPr>
          <w:b/>
          <w:sz w:val="21"/>
        </w:rPr>
        <w:t xml:space="preserve">Public sector: </w:t>
      </w:r>
      <w:r>
        <w:rPr>
          <w:sz w:val="21"/>
        </w:rPr>
        <w:t>Align to your national scheme (e.g. OFFICIAL / SECRET) rather than these labels, and add the FOI disclosure consideration to each tier.</w:t>
      </w:r>
    </w:p>
    <w:p/>
    <w:p>
      <w:pPr>
        <w:spacing w:before="200"/>
      </w:pPr>
      <w:r>
        <w:rPr>
          <w:i/>
          <w:color w:val="606060"/>
          <w:sz w:val="17"/>
        </w:rPr>
        <w:t>Not legal advice. This template is a head start, not a substitute for professional judgement. Adapt it to your jurisdiction, sector, and risk appetite, and have qualified counsel review anything material before you rely on it.</w:t>
      </w:r>
    </w:p>
    <w:sectPr w:rsidR="00FC693F" w:rsidRPr="0006063C" w:rsidSect="00034616">
      <w:pgSz w:w="12240" w:h="15840"/>
      <w:pgMar w:top="1152" w:right="1296" w:bottom="1152"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