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Data Asset Register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The catalogue of what data you hold, who owns it, how sensitive it is, and where it lives. Almost every other governance control depends on it.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Start it early and keep it current. Review entries at least annually, and whenever a system or a data flow changes.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Register your ten most important assets properly rather than every asset badly. A short accurate register is used; an exhaustive stale one is not. Set a review date on every row so staleness becomes visible.</w:t>
      </w:r>
    </w:p>
    <w:p/>
    <w:p>
      <w:pPr>
        <w:spacing w:before="200" w:after="80"/>
      </w:pPr>
      <w:r>
        <w:rPr>
          <w:b/>
          <w:color w:val="3F51B5"/>
          <w:sz w:val="24"/>
        </w:rPr>
        <w:t>Register fields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Field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Why it matters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Asset ID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Stable reference for linking from other registers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Name &amp; description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What it actually is, in business language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Domain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Links to the owner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Data Owner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Named accountable person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Steward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Day-to-day contact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Classification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Drives handling rules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Personal data?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Triggers DPIA and lawful basis questions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Special category?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Triggers additional protection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System of record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Where the authoritative copy lives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Source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Where it came from; licence if external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Lawful basis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Required for personal data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Used in AI?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Links to Ai System Inventory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Quality thresholds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Links to Data Quality Standard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Retention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How long, and under what rule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Last reviewed / next review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Makes staleness visible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The register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5"/>
        <w:gridCol w:w="965"/>
        <w:gridCol w:w="965"/>
        <w:gridCol w:w="965"/>
        <w:gridCol w:w="965"/>
        <w:gridCol w:w="965"/>
        <w:gridCol w:w="965"/>
        <w:gridCol w:w="965"/>
        <w:gridCol w:w="965"/>
        <w:gridCol w:w="965"/>
      </w:tblGrid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ID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Asset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Domain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Owner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Class.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Personal?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System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Used in AI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Retention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Next review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DA-001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Customer master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Customer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Confidential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Yes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[CRM]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AI-003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[7y]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DA-002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Employee records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Employee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Confidential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Yes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[HRIS]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AI-007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[6y post-exit]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DA-003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Product telemetry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Product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Internal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No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[warehouse]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AI-001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[2y]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  <w:tr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DA-004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Support transcripts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Customer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Confidential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Yes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[helpdesk]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AI-002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[3y]</w:t>
            </w:r>
          </w:p>
        </w:tc>
        <w:tc>
          <w:tcPr>
            <w:tcW w:type="dxa" w:w="965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Practical guidance</w:t>
      </w:r>
    </w:p>
    <w:p>
      <w:pPr>
        <w:spacing w:after="120"/>
      </w:pPr>
      <w:r>
        <w:rPr>
          <w:i w:val="0"/>
          <w:sz w:val="21"/>
        </w:rPr>
        <w:t>Start where the risk is. Personal data, regulated data, and anything feeding an AI system first. Marketing collateral can wait.</w:t>
      </w:r>
    </w:p>
    <w:p>
      <w:pPr>
        <w:spacing w:after="120"/>
      </w:pPr>
      <w:r>
        <w:rPr>
          <w:i w:val="0"/>
          <w:sz w:val="21"/>
        </w:rPr>
        <w:t>One row per asset, not per table. "Customer master" is an asset; forty database tables that compose it are not forty assets.</w:t>
      </w:r>
    </w:p>
    <w:p>
      <w:pPr>
        <w:spacing w:after="120"/>
      </w:pPr>
      <w:r>
        <w:rPr>
          <w:i w:val="0"/>
          <w:sz w:val="21"/>
        </w:rPr>
        <w:t>The "used in AI" column earns its keep. When a model misbehaves, this is how you find what fed it. When a data subject exercises their rights, it is how you find where they appear.</w:t>
      </w:r>
    </w:p>
    <w:p>
      <w:pPr>
        <w:spacing w:before="160" w:after="80"/>
      </w:pPr>
      <w:r>
        <w:rPr>
          <w:b/>
          <w:color w:val="3F51B5"/>
          <w:sz w:val="20"/>
        </w:rPr>
        <w:t>The staleness test</w:t>
      </w:r>
    </w:p>
    <w:p>
      <w:pPr>
        <w:spacing w:after="120"/>
      </w:pPr>
      <w:r>
        <w:rPr>
          <w:i/>
          <w:color w:val="606060"/>
          <w:sz w:val="20"/>
        </w:rPr>
        <w:t>A register nobody has updated in six months is a liability, not a control — it gives false assurance. Better to register fewer assets and keep them true.</w:t>
      </w:r>
    </w:p>
    <w:p>
      <w:pPr>
        <w:spacing w:before="200" w:after="80"/>
      </w:pPr>
      <w:r>
        <w:rPr>
          <w:b/>
          <w:color w:val="3F51B5"/>
          <w:sz w:val="24"/>
        </w:rPr>
        <w:t>Maintenance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24"/>
        <w:gridCol w:w="4824"/>
      </w:tblGrid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Trigger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Action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New system or data flow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Register before production use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Classification change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Update; review downstream handling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New AI use of the asset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Update the AI column; check lawful basis covers it</w:t>
            </w:r>
          </w:p>
        </w:tc>
      </w:tr>
      <w:tr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Annual review</w:t>
            </w:r>
          </w:p>
        </w:tc>
        <w:tc>
          <w:tcPr>
            <w:tcW w:type="dxa" w:w="4824"/>
          </w:tcPr>
          <w:p>
            <w:pPr>
              <w:spacing w:after="40"/>
            </w:pPr>
            <w:r/>
            <w:r>
              <w:rPr>
                <w:sz w:val="17"/>
              </w:rPr>
              <w:t>Owner confirms accuracy or corrects</w:t>
            </w:r>
          </w:p>
        </w:tc>
      </w:tr>
    </w:tbl>
    <w:p>
      <w:pPr>
        <w:spacing w:after="80"/>
      </w:pP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A spreadsheet with the first eight columns is genuinely enough. Do not buy a catalogue tool before you have proven you will maintain a list.</w:t>
      </w:r>
    </w:p>
    <w:p>
      <w:pPr>
        <w:pStyle w:val="ListBullet"/>
        <w:spacing w:after="80"/>
      </w:pPr>
      <w:r>
        <w:rPr>
          <w:b/>
          <w:sz w:val="21"/>
        </w:rPr>
        <w:t xml:space="preserve">Existing catalogue tooling: </w:t>
      </w:r>
      <w:r>
        <w:rPr>
          <w:sz w:val="21"/>
        </w:rPr>
        <w:t>Do not duplicate. Add the governance-specific fields — owner, classification, lawful basis, AI usage — to what you already have.</w:t>
      </w:r>
    </w:p>
    <w:p>
      <w:pPr>
        <w:pStyle w:val="ListBullet"/>
        <w:spacing w:after="80"/>
      </w:pPr>
      <w:r>
        <w:rPr>
          <w:b/>
          <w:sz w:val="21"/>
        </w:rPr>
        <w:t xml:space="preserve">Regulated sectors: </w:t>
      </w:r>
      <w:r>
        <w:rPr>
          <w:sz w:val="21"/>
        </w:rPr>
        <w:t>Add lineage and critical-data-element flags, and link to your regulatory reporting inventory.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