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3F51B5"/>
          <w:sz w:val="40"/>
        </w:rPr>
        <w:t>Control Library &amp; Assurance Map</w:t>
      </w:r>
    </w:p>
    <w:p>
      <w:pPr>
        <w:spacing w:after="240"/>
      </w:pPr>
      <w:r>
        <w:rPr>
          <w:i/>
          <w:color w:val="606060"/>
          <w:sz w:val="17"/>
        </w:rPr>
        <w:t>Open Data &amp; AI Governance Kit  ·  Licensed CC BY 4.0  ·  https://lsdeva.github.io/governance-kit/</w:t>
      </w:r>
    </w:p>
    <w:p>
      <w:pPr>
        <w:spacing w:after="120"/>
      </w:pPr>
      <w:r>
        <w:rPr>
          <w:b/>
          <w:sz w:val="21"/>
        </w:rPr>
        <w:t xml:space="preserve">Purpose. </w:t>
      </w:r>
      <w:r>
        <w:rPr>
          <w:sz w:val="21"/>
        </w:rPr>
        <w:t>Maps obligations to the controls that satisfy them, names an owner for each, and records how you would evidence the control is operating. It turns "we have a policy" into "here is what we do and how you can check".</w:t>
      </w:r>
    </w:p>
    <w:p>
      <w:pPr>
        <w:spacing w:after="120"/>
      </w:pPr>
      <w:r>
        <w:rPr>
          <w:b/>
          <w:sz w:val="21"/>
        </w:rPr>
        <w:t xml:space="preserve">When to use it. </w:t>
      </w:r>
      <w:r>
        <w:rPr>
          <w:sz w:val="21"/>
        </w:rPr>
        <w:t>Build once the frameworks exist, then use it to plan assurance and to answer regulator and auditor questions efficiently.</w:t>
      </w:r>
    </w:p>
    <w:p>
      <w:pPr>
        <w:spacing w:after="120"/>
      </w:pPr>
      <w:r>
        <w:rPr>
          <w:b/>
          <w:sz w:val="21"/>
        </w:rPr>
        <w:t xml:space="preserve">How to use it. </w:t>
      </w:r>
      <w:r>
        <w:rPr>
          <w:sz w:val="21"/>
        </w:rPr>
        <w:t>Start from obligations and work outwards to controls, not from your existing controls inwards. Working the other way finds only the obligations you happen to already cover, which is precisely the wrong direction for gap analysis.</w:t>
      </w:r>
    </w:p>
    <w:p/>
    <w:p>
      <w:pPr>
        <w:spacing w:before="200" w:after="80"/>
      </w:pPr>
      <w:r>
        <w:rPr>
          <w:b/>
          <w:color w:val="3F51B5"/>
          <w:sz w:val="24"/>
        </w:rPr>
        <w:t>Structure</w:t>
      </w:r>
    </w:p>
    <w:tbl>
      <w:tblPr>
        <w:tblStyle w:val="TableGrid"/>
        <w:tblW w:type="auto" w:w="0"/>
        <w:jc w:val="center"/>
        <w:tblLook w:firstColumn="1" w:firstRow="1" w:lastColumn="0" w:lastRow="0" w:noHBand="0" w:noVBand="1" w:val="04A0"/>
      </w:tblPr>
      <w:tblGrid>
        <w:gridCol w:w="4824"/>
        <w:gridCol w:w="4824"/>
      </w:tblGrid>
      <w:tr>
        <w:tc>
          <w:tcPr>
            <w:tcW w:type="dxa" w:w="4824"/>
          </w:tcPr>
          <w:p>
            <w:pPr>
              <w:spacing w:after="40"/>
            </w:pPr>
            <w:r/>
            <w:r>
              <w:rPr>
                <w:b/>
                <w:sz w:val="17"/>
              </w:rPr>
              <w:t>Element</w:t>
            </w:r>
          </w:p>
        </w:tc>
        <w:tc>
          <w:tcPr>
            <w:tcW w:type="dxa" w:w="4824"/>
          </w:tcPr>
          <w:p>
            <w:pPr>
              <w:spacing w:after="40"/>
            </w:pPr>
            <w:r/>
            <w:r>
              <w:rPr>
                <w:b/>
                <w:sz w:val="17"/>
              </w:rPr>
              <w:t>Meaning</w:t>
            </w:r>
          </w:p>
        </w:tc>
      </w:tr>
      <w:tr>
        <w:tc>
          <w:tcPr>
            <w:tcW w:type="dxa" w:w="4824"/>
          </w:tcPr>
          <w:p>
            <w:pPr>
              <w:spacing w:after="40"/>
            </w:pPr>
            <w:r/>
            <w:r>
              <w:rPr>
                <w:sz w:val="17"/>
              </w:rPr>
              <w:t>Obligation</w:t>
            </w:r>
          </w:p>
        </w:tc>
        <w:tc>
          <w:tcPr>
            <w:tcW w:type="dxa" w:w="4824"/>
          </w:tcPr>
          <w:p>
            <w:pPr>
              <w:spacing w:after="40"/>
            </w:pPr>
            <w:r/>
            <w:r>
              <w:rPr>
                <w:sz w:val="17"/>
              </w:rPr>
              <w:t>The requirement — regulatory, contractual, or internal</w:t>
            </w:r>
          </w:p>
        </w:tc>
      </w:tr>
      <w:tr>
        <w:tc>
          <w:tcPr>
            <w:tcW w:type="dxa" w:w="4824"/>
          </w:tcPr>
          <w:p>
            <w:pPr>
              <w:spacing w:after="40"/>
            </w:pPr>
            <w:r/>
            <w:r>
              <w:rPr>
                <w:sz w:val="17"/>
              </w:rPr>
              <w:t>Control</w:t>
            </w:r>
          </w:p>
        </w:tc>
        <w:tc>
          <w:tcPr>
            <w:tcW w:type="dxa" w:w="4824"/>
          </w:tcPr>
          <w:p>
            <w:pPr>
              <w:spacing w:after="40"/>
            </w:pPr>
            <w:r/>
            <w:r>
              <w:rPr>
                <w:sz w:val="17"/>
              </w:rPr>
              <w:t>What you do to satisfy it</w:t>
            </w:r>
          </w:p>
        </w:tc>
      </w:tr>
      <w:tr>
        <w:tc>
          <w:tcPr>
            <w:tcW w:type="dxa" w:w="4824"/>
          </w:tcPr>
          <w:p>
            <w:pPr>
              <w:spacing w:after="40"/>
            </w:pPr>
            <w:r/>
            <w:r>
              <w:rPr>
                <w:sz w:val="17"/>
              </w:rPr>
              <w:t>Type</w:t>
            </w:r>
          </w:p>
        </w:tc>
        <w:tc>
          <w:tcPr>
            <w:tcW w:type="dxa" w:w="4824"/>
          </w:tcPr>
          <w:p>
            <w:pPr>
              <w:spacing w:after="40"/>
            </w:pPr>
            <w:r/>
            <w:r>
              <w:rPr>
                <w:sz w:val="17"/>
              </w:rPr>
              <w:t>Preventive / detective / corrective</w:t>
            </w:r>
          </w:p>
        </w:tc>
      </w:tr>
      <w:tr>
        <w:tc>
          <w:tcPr>
            <w:tcW w:type="dxa" w:w="4824"/>
          </w:tcPr>
          <w:p>
            <w:pPr>
              <w:spacing w:after="40"/>
            </w:pPr>
            <w:r/>
            <w:r>
              <w:rPr>
                <w:sz w:val="17"/>
              </w:rPr>
              <w:t>Frequency</w:t>
            </w:r>
          </w:p>
        </w:tc>
        <w:tc>
          <w:tcPr>
            <w:tcW w:type="dxa" w:w="4824"/>
          </w:tcPr>
          <w:p>
            <w:pPr>
              <w:spacing w:after="40"/>
            </w:pPr>
            <w:r/>
            <w:r>
              <w:rPr>
                <w:sz w:val="17"/>
              </w:rPr>
              <w:t>Continuous, per-event, or periodic</w:t>
            </w:r>
          </w:p>
        </w:tc>
      </w:tr>
      <w:tr>
        <w:tc>
          <w:tcPr>
            <w:tcW w:type="dxa" w:w="4824"/>
          </w:tcPr>
          <w:p>
            <w:pPr>
              <w:spacing w:after="40"/>
            </w:pPr>
            <w:r/>
            <w:r>
              <w:rPr>
                <w:sz w:val="17"/>
              </w:rPr>
              <w:t>Owner</w:t>
            </w:r>
          </w:p>
        </w:tc>
        <w:tc>
          <w:tcPr>
            <w:tcW w:type="dxa" w:w="4824"/>
          </w:tcPr>
          <w:p>
            <w:pPr>
              <w:spacing w:after="40"/>
            </w:pPr>
            <w:r/>
            <w:r>
              <w:rPr>
                <w:sz w:val="17"/>
              </w:rPr>
              <w:t>Named, first line</w:t>
            </w:r>
          </w:p>
        </w:tc>
      </w:tr>
      <w:tr>
        <w:tc>
          <w:tcPr>
            <w:tcW w:type="dxa" w:w="4824"/>
          </w:tcPr>
          <w:p>
            <w:pPr>
              <w:spacing w:after="40"/>
            </w:pPr>
            <w:r/>
            <w:r>
              <w:rPr>
                <w:sz w:val="17"/>
              </w:rPr>
              <w:t>Evidence</w:t>
            </w:r>
          </w:p>
        </w:tc>
        <w:tc>
          <w:tcPr>
            <w:tcW w:type="dxa" w:w="4824"/>
          </w:tcPr>
          <w:p>
            <w:pPr>
              <w:spacing w:after="40"/>
            </w:pPr>
            <w:r/>
            <w:r>
              <w:rPr>
                <w:sz w:val="17"/>
              </w:rPr>
              <w:t>What you would show to prove it operated</w:t>
            </w:r>
          </w:p>
        </w:tc>
      </w:tr>
      <w:tr>
        <w:tc>
          <w:tcPr>
            <w:tcW w:type="dxa" w:w="4824"/>
          </w:tcPr>
          <w:p>
            <w:pPr>
              <w:spacing w:after="40"/>
            </w:pPr>
            <w:r/>
            <w:r>
              <w:rPr>
                <w:sz w:val="17"/>
              </w:rPr>
              <w:t>Assurance</w:t>
            </w:r>
          </w:p>
        </w:tc>
        <w:tc>
          <w:tcPr>
            <w:tcW w:type="dxa" w:w="4824"/>
          </w:tcPr>
          <w:p>
            <w:pPr>
              <w:spacing w:after="40"/>
            </w:pPr>
            <w:r/>
            <w:r>
              <w:rPr>
                <w:sz w:val="17"/>
              </w:rPr>
              <w:t>Who checks, and how often</w:t>
            </w:r>
          </w:p>
        </w:tc>
      </w:tr>
    </w:tbl>
    <w:p>
      <w:pPr>
        <w:spacing w:after="80"/>
      </w:pPr>
    </w:p>
    <w:p>
      <w:pPr>
        <w:spacing w:before="200" w:after="80"/>
      </w:pPr>
      <w:r>
        <w:rPr>
          <w:b/>
          <w:color w:val="3F51B5"/>
          <w:sz w:val="24"/>
        </w:rPr>
        <w:t>Control library</w:t>
      </w:r>
    </w:p>
    <w:tbl>
      <w:tblPr>
        <w:tblStyle w:val="TableGrid"/>
        <w:tblW w:type="auto" w:w="0"/>
        <w:jc w:val="center"/>
        <w:tblLook w:firstColumn="1" w:firstRow="1" w:lastColumn="0" w:lastRow="0" w:noHBand="0" w:noVBand="1" w:val="04A0"/>
      </w:tblPr>
      <w:tblGrid>
        <w:gridCol w:w="1206"/>
        <w:gridCol w:w="1206"/>
        <w:gridCol w:w="1206"/>
        <w:gridCol w:w="1206"/>
        <w:gridCol w:w="1206"/>
        <w:gridCol w:w="1206"/>
        <w:gridCol w:w="1206"/>
        <w:gridCol w:w="1206"/>
      </w:tblGrid>
      <w:tr>
        <w:tc>
          <w:tcPr>
            <w:tcW w:type="dxa" w:w="1206"/>
          </w:tcPr>
          <w:p>
            <w:pPr>
              <w:spacing w:after="40"/>
            </w:pPr>
            <w:r/>
            <w:r>
              <w:rPr>
                <w:b/>
                <w:sz w:val="17"/>
              </w:rPr>
              <w:t>ID</w:t>
            </w:r>
          </w:p>
        </w:tc>
        <w:tc>
          <w:tcPr>
            <w:tcW w:type="dxa" w:w="1206"/>
          </w:tcPr>
          <w:p>
            <w:pPr>
              <w:spacing w:after="40"/>
            </w:pPr>
            <w:r/>
            <w:r>
              <w:rPr>
                <w:b/>
                <w:sz w:val="17"/>
              </w:rPr>
              <w:t>Obligation</w:t>
            </w:r>
          </w:p>
        </w:tc>
        <w:tc>
          <w:tcPr>
            <w:tcW w:type="dxa" w:w="1206"/>
          </w:tcPr>
          <w:p>
            <w:pPr>
              <w:spacing w:after="40"/>
            </w:pPr>
            <w:r/>
            <w:r>
              <w:rPr>
                <w:b/>
                <w:sz w:val="17"/>
              </w:rPr>
              <w:t>Control</w:t>
            </w:r>
          </w:p>
        </w:tc>
        <w:tc>
          <w:tcPr>
            <w:tcW w:type="dxa" w:w="1206"/>
          </w:tcPr>
          <w:p>
            <w:pPr>
              <w:spacing w:after="40"/>
            </w:pPr>
            <w:r/>
            <w:r>
              <w:rPr>
                <w:b/>
                <w:sz w:val="17"/>
              </w:rPr>
              <w:t>Type</w:t>
            </w:r>
          </w:p>
        </w:tc>
        <w:tc>
          <w:tcPr>
            <w:tcW w:type="dxa" w:w="1206"/>
          </w:tcPr>
          <w:p>
            <w:pPr>
              <w:spacing w:after="40"/>
            </w:pPr>
            <w:r/>
            <w:r>
              <w:rPr>
                <w:b/>
                <w:sz w:val="17"/>
              </w:rPr>
              <w:t>Freq.</w:t>
            </w:r>
          </w:p>
        </w:tc>
        <w:tc>
          <w:tcPr>
            <w:tcW w:type="dxa" w:w="1206"/>
          </w:tcPr>
          <w:p>
            <w:pPr>
              <w:spacing w:after="40"/>
            </w:pPr>
            <w:r/>
            <w:r>
              <w:rPr>
                <w:b/>
                <w:sz w:val="17"/>
              </w:rPr>
              <w:t>Owner</w:t>
            </w:r>
          </w:p>
        </w:tc>
        <w:tc>
          <w:tcPr>
            <w:tcW w:type="dxa" w:w="1206"/>
          </w:tcPr>
          <w:p>
            <w:pPr>
              <w:spacing w:after="40"/>
            </w:pPr>
            <w:r/>
            <w:r>
              <w:rPr>
                <w:b/>
                <w:sz w:val="17"/>
              </w:rPr>
              <w:t>Evidence</w:t>
            </w:r>
          </w:p>
        </w:tc>
        <w:tc>
          <w:tcPr>
            <w:tcW w:type="dxa" w:w="1206"/>
          </w:tcPr>
          <w:p>
            <w:pPr>
              <w:spacing w:after="40"/>
            </w:pPr>
            <w:r/>
            <w:r>
              <w:rPr>
                <w:b/>
                <w:sz w:val="17"/>
              </w:rPr>
              <w:t>Assurance</w:t>
            </w:r>
          </w:p>
        </w:tc>
      </w:tr>
      <w:tr>
        <w:tc>
          <w:tcPr>
            <w:tcW w:type="dxa" w:w="1206"/>
          </w:tcPr>
          <w:p>
            <w:pPr>
              <w:spacing w:after="40"/>
            </w:pPr>
            <w:r/>
            <w:r>
              <w:rPr>
                <w:sz w:val="17"/>
              </w:rPr>
              <w:t>C-01</w:t>
            </w:r>
          </w:p>
        </w:tc>
        <w:tc>
          <w:tcPr>
            <w:tcW w:type="dxa" w:w="1206"/>
          </w:tcPr>
          <w:p>
            <w:pPr>
              <w:spacing w:after="40"/>
            </w:pPr>
            <w:r/>
            <w:r>
              <w:rPr>
                <w:sz w:val="17"/>
              </w:rPr>
              <w:t>Art. 5 — prohibited practices</w:t>
            </w:r>
          </w:p>
        </w:tc>
        <w:tc>
          <w:tcPr>
            <w:tcW w:type="dxa" w:w="1206"/>
          </w:tcPr>
          <w:p>
            <w:pPr>
              <w:spacing w:after="40"/>
            </w:pPr>
            <w:r/>
            <w:r>
              <w:rPr>
                <w:sz w:val="17"/>
              </w:rPr>
              <w:t>Intake screen at G1 blocks prohibited use cases</w:t>
            </w:r>
          </w:p>
        </w:tc>
        <w:tc>
          <w:tcPr>
            <w:tcW w:type="dxa" w:w="1206"/>
          </w:tcPr>
          <w:p>
            <w:pPr>
              <w:spacing w:after="40"/>
            </w:pPr>
            <w:r/>
            <w:r>
              <w:rPr>
                <w:sz w:val="17"/>
              </w:rPr>
              <w:t>Preventive</w:t>
            </w:r>
          </w:p>
        </w:tc>
        <w:tc>
          <w:tcPr>
            <w:tcW w:type="dxa" w:w="1206"/>
          </w:tcPr>
          <w:p>
            <w:pPr>
              <w:spacing w:after="40"/>
            </w:pPr>
            <w:r/>
            <w:r>
              <w:rPr>
                <w:sz w:val="17"/>
              </w:rPr>
              <w:t>Per system</w:t>
            </w:r>
          </w:p>
        </w:tc>
        <w:tc>
          <w:tcPr>
            <w:tcW w:type="dxa" w:w="1206"/>
          </w:tcPr>
          <w:p>
            <w:pPr>
              <w:spacing w:after="40"/>
            </w:pPr>
            <w:r/>
            <w:r>
              <w:rPr>
                <w:sz w:val="17"/>
              </w:rPr>
              <w:t>Gov Lead</w:t>
            </w:r>
          </w:p>
        </w:tc>
        <w:tc>
          <w:tcPr>
            <w:tcW w:type="dxa" w:w="1206"/>
          </w:tcPr>
          <w:p>
            <w:pPr>
              <w:spacing w:after="40"/>
            </w:pPr>
            <w:r/>
            <w:r>
              <w:rPr>
                <w:sz w:val="17"/>
              </w:rPr>
              <w:t>Screening record in inventory</w:t>
            </w:r>
          </w:p>
        </w:tc>
        <w:tc>
          <w:tcPr>
            <w:tcW w:type="dxa" w:w="1206"/>
          </w:tcPr>
          <w:p>
            <w:pPr>
              <w:spacing w:after="40"/>
            </w:pPr>
            <w:r/>
            <w:r>
              <w:rPr>
                <w:sz w:val="17"/>
              </w:rPr>
              <w:t>2L quarterly sample</w:t>
            </w:r>
          </w:p>
        </w:tc>
      </w:tr>
      <w:tr>
        <w:tc>
          <w:tcPr>
            <w:tcW w:type="dxa" w:w="1206"/>
          </w:tcPr>
          <w:p>
            <w:pPr>
              <w:spacing w:after="40"/>
            </w:pPr>
            <w:r/>
            <w:r>
              <w:rPr>
                <w:sz w:val="17"/>
              </w:rPr>
              <w:t>C-02</w:t>
            </w:r>
          </w:p>
        </w:tc>
        <w:tc>
          <w:tcPr>
            <w:tcW w:type="dxa" w:w="1206"/>
          </w:tcPr>
          <w:p>
            <w:pPr>
              <w:spacing w:after="40"/>
            </w:pPr>
            <w:r/>
            <w:r>
              <w:rPr>
                <w:sz w:val="17"/>
              </w:rPr>
              <w:t>Art. 6 — classification</w:t>
            </w:r>
          </w:p>
        </w:tc>
        <w:tc>
          <w:tcPr>
            <w:tcW w:type="dxa" w:w="1206"/>
          </w:tcPr>
          <w:p>
            <w:pPr>
              <w:spacing w:after="40"/>
            </w:pPr>
            <w:r/>
            <w:r>
              <w:rPr>
                <w:sz w:val="17"/>
              </w:rPr>
              <w:t>Every system classified with recorded rationale before build</w:t>
            </w:r>
          </w:p>
        </w:tc>
        <w:tc>
          <w:tcPr>
            <w:tcW w:type="dxa" w:w="1206"/>
          </w:tcPr>
          <w:p>
            <w:pPr>
              <w:spacing w:after="40"/>
            </w:pPr>
            <w:r/>
            <w:r>
              <w:rPr>
                <w:sz w:val="17"/>
              </w:rPr>
              <w:t>Preventive</w:t>
            </w:r>
          </w:p>
        </w:tc>
        <w:tc>
          <w:tcPr>
            <w:tcW w:type="dxa" w:w="1206"/>
          </w:tcPr>
          <w:p>
            <w:pPr>
              <w:spacing w:after="40"/>
            </w:pPr>
            <w:r/>
            <w:r>
              <w:rPr>
                <w:sz w:val="17"/>
              </w:rPr>
              <w:t>Per system</w:t>
            </w:r>
          </w:p>
        </w:tc>
        <w:tc>
          <w:tcPr>
            <w:tcW w:type="dxa" w:w="1206"/>
          </w:tcPr>
          <w:p>
            <w:pPr>
              <w:spacing w:after="40"/>
            </w:pPr>
            <w:r/>
            <w:r>
              <w:rPr>
                <w:sz w:val="17"/>
              </w:rPr>
              <w:t>Gov Lead</w:t>
            </w:r>
          </w:p>
        </w:tc>
        <w:tc>
          <w:tcPr>
            <w:tcW w:type="dxa" w:w="1206"/>
          </w:tcPr>
          <w:p>
            <w:pPr>
              <w:spacing w:after="40"/>
            </w:pPr>
            <w:r/>
            <w:r>
              <w:rPr>
                <w:sz w:val="17"/>
              </w:rPr>
              <w:t>Ai System Inventory</w:t>
            </w:r>
          </w:p>
        </w:tc>
        <w:tc>
          <w:tcPr>
            <w:tcW w:type="dxa" w:w="1206"/>
          </w:tcPr>
          <w:p>
            <w:pPr>
              <w:spacing w:after="40"/>
            </w:pPr>
            <w:r/>
            <w:r>
              <w:rPr>
                <w:sz w:val="17"/>
              </w:rPr>
              <w:t>2L quarterly</w:t>
            </w:r>
          </w:p>
        </w:tc>
      </w:tr>
      <w:tr>
        <w:tc>
          <w:tcPr>
            <w:tcW w:type="dxa" w:w="1206"/>
          </w:tcPr>
          <w:p>
            <w:pPr>
              <w:spacing w:after="40"/>
            </w:pPr>
            <w:r/>
            <w:r>
              <w:rPr>
                <w:sz w:val="17"/>
              </w:rPr>
              <w:t>C-03</w:t>
            </w:r>
          </w:p>
        </w:tc>
        <w:tc>
          <w:tcPr>
            <w:tcW w:type="dxa" w:w="1206"/>
          </w:tcPr>
          <w:p>
            <w:pPr>
              <w:spacing w:after="40"/>
            </w:pPr>
            <w:r/>
            <w:r>
              <w:rPr>
                <w:sz w:val="17"/>
              </w:rPr>
              <w:t>Art. 9 — risk management</w:t>
            </w:r>
          </w:p>
        </w:tc>
        <w:tc>
          <w:tcPr>
            <w:tcW w:type="dxa" w:w="1206"/>
          </w:tcPr>
          <w:p>
            <w:pPr>
              <w:spacing w:after="40"/>
            </w:pPr>
            <w:r/>
            <w:r>
              <w:rPr>
                <w:sz w:val="17"/>
              </w:rPr>
              <w:t>Risk assessment completed and reviewed for high-risk systems</w:t>
            </w:r>
          </w:p>
        </w:tc>
        <w:tc>
          <w:tcPr>
            <w:tcW w:type="dxa" w:w="1206"/>
          </w:tcPr>
          <w:p>
            <w:pPr>
              <w:spacing w:after="40"/>
            </w:pPr>
            <w:r/>
            <w:r>
              <w:rPr>
                <w:sz w:val="17"/>
              </w:rPr>
              <w:t>Preventive</w:t>
            </w:r>
          </w:p>
        </w:tc>
        <w:tc>
          <w:tcPr>
            <w:tcW w:type="dxa" w:w="1206"/>
          </w:tcPr>
          <w:p>
            <w:pPr>
              <w:spacing w:after="40"/>
            </w:pPr>
            <w:r/>
            <w:r>
              <w:rPr>
                <w:sz w:val="17"/>
              </w:rPr>
              <w:t>Per system + annual</w:t>
            </w:r>
          </w:p>
        </w:tc>
        <w:tc>
          <w:tcPr>
            <w:tcW w:type="dxa" w:w="1206"/>
          </w:tcPr>
          <w:p>
            <w:pPr>
              <w:spacing w:after="40"/>
            </w:pPr>
            <w:r/>
            <w:r>
              <w:rPr>
                <w:sz w:val="17"/>
              </w:rPr>
              <w:t>AI Owner</w:t>
            </w:r>
          </w:p>
        </w:tc>
        <w:tc>
          <w:tcPr>
            <w:tcW w:type="dxa" w:w="1206"/>
          </w:tcPr>
          <w:p>
            <w:pPr>
              <w:spacing w:after="40"/>
            </w:pPr>
            <w:r/>
            <w:r>
              <w:rPr>
                <w:sz w:val="17"/>
              </w:rPr>
              <w:t>Ai Risk Assessment</w:t>
            </w:r>
          </w:p>
        </w:tc>
        <w:tc>
          <w:tcPr>
            <w:tcW w:type="dxa" w:w="1206"/>
          </w:tcPr>
          <w:p>
            <w:pPr>
              <w:spacing w:after="40"/>
            </w:pPr>
            <w:r/>
            <w:r>
              <w:rPr>
                <w:sz w:val="17"/>
              </w:rPr>
              <w:t>3L annual</w:t>
            </w:r>
          </w:p>
        </w:tc>
      </w:tr>
      <w:tr>
        <w:tc>
          <w:tcPr>
            <w:tcW w:type="dxa" w:w="1206"/>
          </w:tcPr>
          <w:p>
            <w:pPr>
              <w:spacing w:after="40"/>
            </w:pPr>
            <w:r/>
            <w:r>
              <w:rPr>
                <w:sz w:val="17"/>
              </w:rPr>
              <w:t>C-04</w:t>
            </w:r>
          </w:p>
        </w:tc>
        <w:tc>
          <w:tcPr>
            <w:tcW w:type="dxa" w:w="1206"/>
          </w:tcPr>
          <w:p>
            <w:pPr>
              <w:spacing w:after="40"/>
            </w:pPr>
            <w:r/>
            <w:r>
              <w:rPr>
                <w:sz w:val="17"/>
              </w:rPr>
              <w:t>Art. 10 — data governance</w:t>
            </w:r>
          </w:p>
        </w:tc>
        <w:tc>
          <w:tcPr>
            <w:tcW w:type="dxa" w:w="1206"/>
          </w:tcPr>
          <w:p>
            <w:pPr>
              <w:spacing w:after="40"/>
            </w:pPr>
            <w:r/>
            <w:r>
              <w:rPr>
                <w:sz w:val="17"/>
              </w:rPr>
              <w:t>Training data assessed for relevance, representativeness, bias</w:t>
            </w:r>
          </w:p>
        </w:tc>
        <w:tc>
          <w:tcPr>
            <w:tcW w:type="dxa" w:w="1206"/>
          </w:tcPr>
          <w:p>
            <w:pPr>
              <w:spacing w:after="40"/>
            </w:pPr>
            <w:r/>
            <w:r>
              <w:rPr>
                <w:sz w:val="17"/>
              </w:rPr>
              <w:t>Preventive</w:t>
            </w:r>
          </w:p>
        </w:tc>
        <w:tc>
          <w:tcPr>
            <w:tcW w:type="dxa" w:w="1206"/>
          </w:tcPr>
          <w:p>
            <w:pPr>
              <w:spacing w:after="40"/>
            </w:pPr>
            <w:r/>
            <w:r>
              <w:rPr>
                <w:sz w:val="17"/>
              </w:rPr>
              <w:t>Per model</w:t>
            </w:r>
          </w:p>
        </w:tc>
        <w:tc>
          <w:tcPr>
            <w:tcW w:type="dxa" w:w="1206"/>
          </w:tcPr>
          <w:p>
            <w:pPr>
              <w:spacing w:after="40"/>
            </w:pPr>
            <w:r/>
            <w:r>
              <w:rPr>
                <w:sz w:val="17"/>
              </w:rPr>
              <w:t>ML Lead</w:t>
            </w:r>
          </w:p>
        </w:tc>
        <w:tc>
          <w:tcPr>
            <w:tcW w:type="dxa" w:w="1206"/>
          </w:tcPr>
          <w:p>
            <w:pPr>
              <w:spacing w:after="40"/>
            </w:pPr>
            <w:r/>
            <w:r>
              <w:rPr>
                <w:sz w:val="17"/>
              </w:rPr>
              <w:t>Data quality report</w:t>
            </w:r>
          </w:p>
        </w:tc>
        <w:tc>
          <w:tcPr>
            <w:tcW w:type="dxa" w:w="1206"/>
          </w:tcPr>
          <w:p>
            <w:pPr>
              <w:spacing w:after="40"/>
            </w:pPr>
            <w:r/>
            <w:r>
              <w:rPr>
                <w:sz w:val="17"/>
              </w:rPr>
              <w:t>2L per release</w:t>
            </w:r>
          </w:p>
        </w:tc>
      </w:tr>
      <w:tr>
        <w:tc>
          <w:tcPr>
            <w:tcW w:type="dxa" w:w="1206"/>
          </w:tcPr>
          <w:p>
            <w:pPr>
              <w:spacing w:after="40"/>
            </w:pPr>
            <w:r/>
            <w:r>
              <w:rPr>
                <w:sz w:val="17"/>
              </w:rPr>
              <w:t>C-05</w:t>
            </w:r>
          </w:p>
        </w:tc>
        <w:tc>
          <w:tcPr>
            <w:tcW w:type="dxa" w:w="1206"/>
          </w:tcPr>
          <w:p>
            <w:pPr>
              <w:spacing w:after="40"/>
            </w:pPr>
            <w:r/>
            <w:r>
              <w:rPr>
                <w:sz w:val="17"/>
              </w:rPr>
              <w:t>Art. 11 — documentation</w:t>
            </w:r>
          </w:p>
        </w:tc>
        <w:tc>
          <w:tcPr>
            <w:tcW w:type="dxa" w:w="1206"/>
          </w:tcPr>
          <w:p>
            <w:pPr>
              <w:spacing w:after="40"/>
            </w:pPr>
            <w:r/>
            <w:r>
              <w:rPr>
                <w:sz w:val="17"/>
              </w:rPr>
              <w:t>Model card completed before deployment</w:t>
            </w:r>
          </w:p>
        </w:tc>
        <w:tc>
          <w:tcPr>
            <w:tcW w:type="dxa" w:w="1206"/>
          </w:tcPr>
          <w:p>
            <w:pPr>
              <w:spacing w:after="40"/>
            </w:pPr>
            <w:r/>
            <w:r>
              <w:rPr>
                <w:sz w:val="17"/>
              </w:rPr>
              <w:t>Preventive</w:t>
            </w:r>
          </w:p>
        </w:tc>
        <w:tc>
          <w:tcPr>
            <w:tcW w:type="dxa" w:w="1206"/>
          </w:tcPr>
          <w:p>
            <w:pPr>
              <w:spacing w:after="40"/>
            </w:pPr>
            <w:r/>
            <w:r>
              <w:rPr>
                <w:sz w:val="17"/>
              </w:rPr>
              <w:t>Per model</w:t>
            </w:r>
          </w:p>
        </w:tc>
        <w:tc>
          <w:tcPr>
            <w:tcW w:type="dxa" w:w="1206"/>
          </w:tcPr>
          <w:p>
            <w:pPr>
              <w:spacing w:after="40"/>
            </w:pPr>
            <w:r/>
            <w:r>
              <w:rPr>
                <w:sz w:val="17"/>
              </w:rPr>
              <w:t>ML Lead</w:t>
            </w:r>
          </w:p>
        </w:tc>
        <w:tc>
          <w:tcPr>
            <w:tcW w:type="dxa" w:w="1206"/>
          </w:tcPr>
          <w:p>
            <w:pPr>
              <w:spacing w:after="40"/>
            </w:pPr>
            <w:r/>
            <w:r>
              <w:rPr>
                <w:sz w:val="17"/>
              </w:rPr>
              <w:t>Model Card</w:t>
            </w:r>
          </w:p>
        </w:tc>
        <w:tc>
          <w:tcPr>
            <w:tcW w:type="dxa" w:w="1206"/>
          </w:tcPr>
          <w:p>
            <w:pPr>
              <w:spacing w:after="40"/>
            </w:pPr>
            <w:r/>
            <w:r>
              <w:rPr>
                <w:sz w:val="17"/>
              </w:rPr>
              <w:t>3L annual</w:t>
            </w:r>
          </w:p>
        </w:tc>
      </w:tr>
      <w:tr>
        <w:tc>
          <w:tcPr>
            <w:tcW w:type="dxa" w:w="1206"/>
          </w:tcPr>
          <w:p>
            <w:pPr>
              <w:spacing w:after="40"/>
            </w:pPr>
            <w:r/>
            <w:r>
              <w:rPr>
                <w:sz w:val="17"/>
              </w:rPr>
              <w:t>C-06</w:t>
            </w:r>
          </w:p>
        </w:tc>
        <w:tc>
          <w:tcPr>
            <w:tcW w:type="dxa" w:w="1206"/>
          </w:tcPr>
          <w:p>
            <w:pPr>
              <w:spacing w:after="40"/>
            </w:pPr>
            <w:r/>
            <w:r>
              <w:rPr>
                <w:sz w:val="17"/>
              </w:rPr>
              <w:t>Art. 12 — logging</w:t>
            </w:r>
          </w:p>
        </w:tc>
        <w:tc>
          <w:tcPr>
            <w:tcW w:type="dxa" w:w="1206"/>
          </w:tcPr>
          <w:p>
            <w:pPr>
              <w:spacing w:after="40"/>
            </w:pPr>
            <w:r/>
            <w:r>
              <w:rPr>
                <w:sz w:val="17"/>
              </w:rPr>
              <w:t>Automatic logging enabled and retained</w:t>
            </w:r>
          </w:p>
        </w:tc>
        <w:tc>
          <w:tcPr>
            <w:tcW w:type="dxa" w:w="1206"/>
          </w:tcPr>
          <w:p>
            <w:pPr>
              <w:spacing w:after="40"/>
            </w:pPr>
            <w:r/>
            <w:r>
              <w:rPr>
                <w:sz w:val="17"/>
              </w:rPr>
              <w:t>Detective</w:t>
            </w:r>
          </w:p>
        </w:tc>
        <w:tc>
          <w:tcPr>
            <w:tcW w:type="dxa" w:w="1206"/>
          </w:tcPr>
          <w:p>
            <w:pPr>
              <w:spacing w:after="40"/>
            </w:pPr>
            <w:r/>
            <w:r>
              <w:rPr>
                <w:sz w:val="17"/>
              </w:rPr>
              <w:t>Continuous</w:t>
            </w:r>
          </w:p>
        </w:tc>
        <w:tc>
          <w:tcPr>
            <w:tcW w:type="dxa" w:w="1206"/>
          </w:tcPr>
          <w:p>
            <w:pPr>
              <w:spacing w:after="40"/>
            </w:pPr>
            <w:r/>
            <w:r>
              <w:rPr>
                <w:sz w:val="17"/>
              </w:rPr>
              <w:t>Tech Owner</w:t>
            </w:r>
          </w:p>
        </w:tc>
        <w:tc>
          <w:tcPr>
            <w:tcW w:type="dxa" w:w="1206"/>
          </w:tcPr>
          <w:p>
            <w:pPr>
              <w:spacing w:after="40"/>
            </w:pPr>
            <w:r/>
            <w:r>
              <w:rPr>
                <w:sz w:val="17"/>
              </w:rPr>
              <w:t>Log configuration; retention proof</w:t>
            </w:r>
          </w:p>
        </w:tc>
        <w:tc>
          <w:tcPr>
            <w:tcW w:type="dxa" w:w="1206"/>
          </w:tcPr>
          <w:p>
            <w:pPr>
              <w:spacing w:after="40"/>
            </w:pPr>
            <w:r/>
            <w:r>
              <w:rPr>
                <w:sz w:val="17"/>
              </w:rPr>
              <w:t>2L quarterly</w:t>
            </w:r>
          </w:p>
        </w:tc>
      </w:tr>
      <w:tr>
        <w:tc>
          <w:tcPr>
            <w:tcW w:type="dxa" w:w="1206"/>
          </w:tcPr>
          <w:p>
            <w:pPr>
              <w:spacing w:after="40"/>
            </w:pPr>
            <w:r/>
            <w:r>
              <w:rPr>
                <w:sz w:val="17"/>
              </w:rPr>
              <w:t>C-07</w:t>
            </w:r>
          </w:p>
        </w:tc>
        <w:tc>
          <w:tcPr>
            <w:tcW w:type="dxa" w:w="1206"/>
          </w:tcPr>
          <w:p>
            <w:pPr>
              <w:spacing w:after="40"/>
            </w:pPr>
            <w:r/>
            <w:r>
              <w:rPr>
                <w:sz w:val="17"/>
              </w:rPr>
              <w:t>Art. 14 — human oversight</w:t>
            </w:r>
          </w:p>
        </w:tc>
        <w:tc>
          <w:tcPr>
            <w:tcW w:type="dxa" w:w="1206"/>
          </w:tcPr>
          <w:p>
            <w:pPr>
              <w:spacing w:after="40"/>
            </w:pPr>
            <w:r/>
            <w:r>
              <w:rPr>
                <w:sz w:val="17"/>
              </w:rPr>
              <w:t>Reviewer workflow with override; override rates monitored</w:t>
            </w:r>
          </w:p>
        </w:tc>
        <w:tc>
          <w:tcPr>
            <w:tcW w:type="dxa" w:w="1206"/>
          </w:tcPr>
          <w:p>
            <w:pPr>
              <w:spacing w:after="40"/>
            </w:pPr>
            <w:r/>
            <w:r>
              <w:rPr>
                <w:sz w:val="17"/>
              </w:rPr>
              <w:t>Preventive</w:t>
            </w:r>
          </w:p>
        </w:tc>
        <w:tc>
          <w:tcPr>
            <w:tcW w:type="dxa" w:w="1206"/>
          </w:tcPr>
          <w:p>
            <w:pPr>
              <w:spacing w:after="40"/>
            </w:pPr>
            <w:r/>
            <w:r>
              <w:rPr>
                <w:sz w:val="17"/>
              </w:rPr>
              <w:t>Continuous</w:t>
            </w:r>
          </w:p>
        </w:tc>
        <w:tc>
          <w:tcPr>
            <w:tcW w:type="dxa" w:w="1206"/>
          </w:tcPr>
          <w:p>
            <w:pPr>
              <w:spacing w:after="40"/>
            </w:pPr>
            <w:r/>
            <w:r>
              <w:rPr>
                <w:sz w:val="17"/>
              </w:rPr>
              <w:t>Product Owner</w:t>
            </w:r>
          </w:p>
        </w:tc>
        <w:tc>
          <w:tcPr>
            <w:tcW w:type="dxa" w:w="1206"/>
          </w:tcPr>
          <w:p>
            <w:pPr>
              <w:spacing w:after="40"/>
            </w:pPr>
            <w:r/>
            <w:r>
              <w:rPr>
                <w:sz w:val="17"/>
              </w:rPr>
              <w:t>Override metrics</w:t>
            </w:r>
          </w:p>
        </w:tc>
        <w:tc>
          <w:tcPr>
            <w:tcW w:type="dxa" w:w="1206"/>
          </w:tcPr>
          <w:p>
            <w:pPr>
              <w:spacing w:after="40"/>
            </w:pPr>
            <w:r/>
            <w:r>
              <w:rPr>
                <w:sz w:val="17"/>
              </w:rPr>
              <w:t>2L quarterly</w:t>
            </w:r>
          </w:p>
        </w:tc>
      </w:tr>
      <w:tr>
        <w:tc>
          <w:tcPr>
            <w:tcW w:type="dxa" w:w="1206"/>
          </w:tcPr>
          <w:p>
            <w:pPr>
              <w:spacing w:after="40"/>
            </w:pPr>
            <w:r/>
            <w:r>
              <w:rPr>
                <w:sz w:val="17"/>
              </w:rPr>
              <w:t>C-08</w:t>
            </w:r>
          </w:p>
        </w:tc>
        <w:tc>
          <w:tcPr>
            <w:tcW w:type="dxa" w:w="1206"/>
          </w:tcPr>
          <w:p>
            <w:pPr>
              <w:spacing w:after="40"/>
            </w:pPr>
            <w:r/>
            <w:r>
              <w:rPr>
                <w:sz w:val="17"/>
              </w:rPr>
              <w:t>Art. 15 — accuracy &amp; security</w:t>
            </w:r>
          </w:p>
        </w:tc>
        <w:tc>
          <w:tcPr>
            <w:tcW w:type="dxa" w:w="1206"/>
          </w:tcPr>
          <w:p>
            <w:pPr>
              <w:spacing w:after="40"/>
            </w:pPr>
            <w:r/>
            <w:r>
              <w:rPr>
                <w:sz w:val="17"/>
              </w:rPr>
              <w:t>Evaluation and adversarial testing before release</w:t>
            </w:r>
          </w:p>
        </w:tc>
        <w:tc>
          <w:tcPr>
            <w:tcW w:type="dxa" w:w="1206"/>
          </w:tcPr>
          <w:p>
            <w:pPr>
              <w:spacing w:after="40"/>
            </w:pPr>
            <w:r/>
            <w:r>
              <w:rPr>
                <w:sz w:val="17"/>
              </w:rPr>
              <w:t>Preventive</w:t>
            </w:r>
          </w:p>
        </w:tc>
        <w:tc>
          <w:tcPr>
            <w:tcW w:type="dxa" w:w="1206"/>
          </w:tcPr>
          <w:p>
            <w:pPr>
              <w:spacing w:after="40"/>
            </w:pPr>
            <w:r/>
            <w:r>
              <w:rPr>
                <w:sz w:val="17"/>
              </w:rPr>
              <w:t>Per release</w:t>
            </w:r>
          </w:p>
        </w:tc>
        <w:tc>
          <w:tcPr>
            <w:tcW w:type="dxa" w:w="1206"/>
          </w:tcPr>
          <w:p>
            <w:pPr>
              <w:spacing w:after="40"/>
            </w:pPr>
            <w:r/>
            <w:r>
              <w:rPr>
                <w:sz w:val="17"/>
              </w:rPr>
              <w:t>ML Lead</w:t>
            </w:r>
          </w:p>
        </w:tc>
        <w:tc>
          <w:tcPr>
            <w:tcW w:type="dxa" w:w="1206"/>
          </w:tcPr>
          <w:p>
            <w:pPr>
              <w:spacing w:after="40"/>
            </w:pPr>
            <w:r/>
            <w:r>
              <w:rPr>
                <w:sz w:val="17"/>
              </w:rPr>
              <w:t>Test results</w:t>
            </w:r>
          </w:p>
        </w:tc>
        <w:tc>
          <w:tcPr>
            <w:tcW w:type="dxa" w:w="1206"/>
          </w:tcPr>
          <w:p>
            <w:pPr>
              <w:spacing w:after="40"/>
            </w:pPr>
            <w:r/>
            <w:r>
              <w:rPr>
                <w:sz w:val="17"/>
              </w:rPr>
              <w:t>3L annual</w:t>
            </w:r>
          </w:p>
        </w:tc>
      </w:tr>
      <w:tr>
        <w:tc>
          <w:tcPr>
            <w:tcW w:type="dxa" w:w="1206"/>
          </w:tcPr>
          <w:p>
            <w:pPr>
              <w:spacing w:after="40"/>
            </w:pPr>
            <w:r/>
            <w:r>
              <w:rPr>
                <w:sz w:val="17"/>
              </w:rPr>
              <w:t>C-09</w:t>
            </w:r>
          </w:p>
        </w:tc>
        <w:tc>
          <w:tcPr>
            <w:tcW w:type="dxa" w:w="1206"/>
          </w:tcPr>
          <w:p>
            <w:pPr>
              <w:spacing w:after="40"/>
            </w:pPr>
            <w:r/>
            <w:r>
              <w:rPr>
                <w:sz w:val="17"/>
              </w:rPr>
              <w:t>Art. 50 — transparency</w:t>
            </w:r>
          </w:p>
        </w:tc>
        <w:tc>
          <w:tcPr>
            <w:tcW w:type="dxa" w:w="1206"/>
          </w:tcPr>
          <w:p>
            <w:pPr>
              <w:spacing w:after="40"/>
            </w:pPr>
            <w:r/>
            <w:r>
              <w:rPr>
                <w:sz w:val="17"/>
              </w:rPr>
              <w:t>AI disclosure present in user-facing surfaces</w:t>
            </w:r>
          </w:p>
        </w:tc>
        <w:tc>
          <w:tcPr>
            <w:tcW w:type="dxa" w:w="1206"/>
          </w:tcPr>
          <w:p>
            <w:pPr>
              <w:spacing w:after="40"/>
            </w:pPr>
            <w:r/>
            <w:r>
              <w:rPr>
                <w:sz w:val="17"/>
              </w:rPr>
              <w:t>Preventive</w:t>
            </w:r>
          </w:p>
        </w:tc>
        <w:tc>
          <w:tcPr>
            <w:tcW w:type="dxa" w:w="1206"/>
          </w:tcPr>
          <w:p>
            <w:pPr>
              <w:spacing w:after="40"/>
            </w:pPr>
            <w:r/>
            <w:r>
              <w:rPr>
                <w:sz w:val="17"/>
              </w:rPr>
              <w:t>Per release</w:t>
            </w:r>
          </w:p>
        </w:tc>
        <w:tc>
          <w:tcPr>
            <w:tcW w:type="dxa" w:w="1206"/>
          </w:tcPr>
          <w:p>
            <w:pPr>
              <w:spacing w:after="40"/>
            </w:pPr>
            <w:r/>
            <w:r>
              <w:rPr>
                <w:sz w:val="17"/>
              </w:rPr>
              <w:t>Product Owner</w:t>
            </w:r>
          </w:p>
        </w:tc>
        <w:tc>
          <w:tcPr>
            <w:tcW w:type="dxa" w:w="1206"/>
          </w:tcPr>
          <w:p>
            <w:pPr>
              <w:spacing w:after="40"/>
            </w:pPr>
            <w:r/>
            <w:r>
              <w:rPr>
                <w:sz w:val="17"/>
              </w:rPr>
              <w:t>UI evidence</w:t>
            </w:r>
          </w:p>
        </w:tc>
        <w:tc>
          <w:tcPr>
            <w:tcW w:type="dxa" w:w="1206"/>
          </w:tcPr>
          <w:p>
            <w:pPr>
              <w:spacing w:after="40"/>
            </w:pPr>
            <w:r/>
            <w:r>
              <w:rPr>
                <w:sz w:val="17"/>
              </w:rPr>
              <w:t>2L sample</w:t>
            </w:r>
          </w:p>
        </w:tc>
      </w:tr>
      <w:tr>
        <w:tc>
          <w:tcPr>
            <w:tcW w:type="dxa" w:w="1206"/>
          </w:tcPr>
          <w:p>
            <w:pPr>
              <w:spacing w:after="40"/>
            </w:pPr>
            <w:r/>
            <w:r>
              <w:rPr>
                <w:sz w:val="17"/>
              </w:rPr>
              <w:t>C-10</w:t>
            </w:r>
          </w:p>
        </w:tc>
        <w:tc>
          <w:tcPr>
            <w:tcW w:type="dxa" w:w="1206"/>
          </w:tcPr>
          <w:p>
            <w:pPr>
              <w:spacing w:after="40"/>
            </w:pPr>
            <w:r/>
            <w:r>
              <w:rPr>
                <w:sz w:val="17"/>
              </w:rPr>
              <w:t>Art. 72/73 — monitoring &amp; incidents</w:t>
            </w:r>
          </w:p>
        </w:tc>
        <w:tc>
          <w:tcPr>
            <w:tcW w:type="dxa" w:w="1206"/>
          </w:tcPr>
          <w:p>
            <w:pPr>
              <w:spacing w:after="40"/>
            </w:pPr>
            <w:r/>
            <w:r>
              <w:rPr>
                <w:sz w:val="17"/>
              </w:rPr>
              <w:t>Monitoring live; incident route defined and tested</w:t>
            </w:r>
          </w:p>
        </w:tc>
        <w:tc>
          <w:tcPr>
            <w:tcW w:type="dxa" w:w="1206"/>
          </w:tcPr>
          <w:p>
            <w:pPr>
              <w:spacing w:after="40"/>
            </w:pPr>
            <w:r/>
            <w:r>
              <w:rPr>
                <w:sz w:val="17"/>
              </w:rPr>
              <w:t>Detective</w:t>
            </w:r>
          </w:p>
        </w:tc>
        <w:tc>
          <w:tcPr>
            <w:tcW w:type="dxa" w:w="1206"/>
          </w:tcPr>
          <w:p>
            <w:pPr>
              <w:spacing w:after="40"/>
            </w:pPr>
            <w:r/>
            <w:r>
              <w:rPr>
                <w:sz w:val="17"/>
              </w:rPr>
              <w:t>Continuous</w:t>
            </w:r>
          </w:p>
        </w:tc>
        <w:tc>
          <w:tcPr>
            <w:tcW w:type="dxa" w:w="1206"/>
          </w:tcPr>
          <w:p>
            <w:pPr>
              <w:spacing w:after="40"/>
            </w:pPr>
            <w:r/>
            <w:r>
              <w:rPr>
                <w:sz w:val="17"/>
              </w:rPr>
              <w:t>Gov Lead</w:t>
            </w:r>
          </w:p>
        </w:tc>
        <w:tc>
          <w:tcPr>
            <w:tcW w:type="dxa" w:w="1206"/>
          </w:tcPr>
          <w:p>
            <w:pPr>
              <w:spacing w:after="40"/>
            </w:pPr>
            <w:r/>
            <w:r>
              <w:rPr>
                <w:sz w:val="17"/>
              </w:rPr>
              <w:t>Incident Log</w:t>
            </w:r>
          </w:p>
        </w:tc>
        <w:tc>
          <w:tcPr>
            <w:tcW w:type="dxa" w:w="1206"/>
          </w:tcPr>
          <w:p>
            <w:pPr>
              <w:spacing w:after="40"/>
            </w:pPr>
            <w:r/>
            <w:r>
              <w:rPr>
                <w:sz w:val="17"/>
              </w:rPr>
              <w:t>3L annual</w:t>
            </w:r>
          </w:p>
        </w:tc>
      </w:tr>
      <w:tr>
        <w:tc>
          <w:tcPr>
            <w:tcW w:type="dxa" w:w="1206"/>
          </w:tcPr>
          <w:p>
            <w:pPr>
              <w:spacing w:after="40"/>
            </w:pPr>
            <w:r/>
            <w:r>
              <w:rPr>
                <w:sz w:val="17"/>
              </w:rPr>
              <w:t>C-11</w:t>
            </w:r>
          </w:p>
        </w:tc>
        <w:tc>
          <w:tcPr>
            <w:tcW w:type="dxa" w:w="1206"/>
          </w:tcPr>
          <w:p>
            <w:pPr>
              <w:spacing w:after="40"/>
            </w:pPr>
            <w:r/>
            <w:r>
              <w:rPr>
                <w:sz w:val="17"/>
              </w:rPr>
              <w:t>Art. 4 — AI literacy</w:t>
            </w:r>
          </w:p>
        </w:tc>
        <w:tc>
          <w:tcPr>
            <w:tcW w:type="dxa" w:w="1206"/>
          </w:tcPr>
          <w:p>
            <w:pPr>
              <w:spacing w:after="40"/>
            </w:pPr>
            <w:r/>
            <w:r>
              <w:rPr>
                <w:sz w:val="17"/>
              </w:rPr>
              <w:t>Role-appropriate training delivered and tracked</w:t>
            </w:r>
          </w:p>
        </w:tc>
        <w:tc>
          <w:tcPr>
            <w:tcW w:type="dxa" w:w="1206"/>
          </w:tcPr>
          <w:p>
            <w:pPr>
              <w:spacing w:after="40"/>
            </w:pPr>
            <w:r/>
            <w:r>
              <w:rPr>
                <w:sz w:val="17"/>
              </w:rPr>
              <w:t>Preventive</w:t>
            </w:r>
          </w:p>
        </w:tc>
        <w:tc>
          <w:tcPr>
            <w:tcW w:type="dxa" w:w="1206"/>
          </w:tcPr>
          <w:p>
            <w:pPr>
              <w:spacing w:after="40"/>
            </w:pPr>
            <w:r/>
            <w:r>
              <w:rPr>
                <w:sz w:val="17"/>
              </w:rPr>
              <w:t>Annual</w:t>
            </w:r>
          </w:p>
        </w:tc>
        <w:tc>
          <w:tcPr>
            <w:tcW w:type="dxa" w:w="1206"/>
          </w:tcPr>
          <w:p>
            <w:pPr>
              <w:spacing w:after="40"/>
            </w:pPr>
            <w:r/>
            <w:r>
              <w:rPr>
                <w:sz w:val="17"/>
              </w:rPr>
              <w:t>HR</w:t>
            </w:r>
          </w:p>
        </w:tc>
        <w:tc>
          <w:tcPr>
            <w:tcW w:type="dxa" w:w="1206"/>
          </w:tcPr>
          <w:p>
            <w:pPr>
              <w:spacing w:after="40"/>
            </w:pPr>
            <w:r/>
            <w:r>
              <w:rPr>
                <w:sz w:val="17"/>
              </w:rPr>
              <w:t>Completion records</w:t>
            </w:r>
          </w:p>
        </w:tc>
        <w:tc>
          <w:tcPr>
            <w:tcW w:type="dxa" w:w="1206"/>
          </w:tcPr>
          <w:p>
            <w:pPr>
              <w:spacing w:after="40"/>
            </w:pPr>
            <w:r/>
            <w:r>
              <w:rPr>
                <w:sz w:val="17"/>
              </w:rPr>
              <w:t>2L annual</w:t>
            </w:r>
          </w:p>
        </w:tc>
      </w:tr>
      <w:tr>
        <w:tc>
          <w:tcPr>
            <w:tcW w:type="dxa" w:w="1206"/>
          </w:tcPr>
          <w:p>
            <w:pPr>
              <w:spacing w:after="40"/>
            </w:pPr>
            <w:r/>
            <w:r>
              <w:rPr>
                <w:sz w:val="17"/>
              </w:rPr>
              <w:t>C-12</w:t>
            </w:r>
          </w:p>
        </w:tc>
        <w:tc>
          <w:tcPr>
            <w:tcW w:type="dxa" w:w="1206"/>
          </w:tcPr>
          <w:p>
            <w:pPr>
              <w:spacing w:after="40"/>
            </w:pPr>
            <w:r/>
            <w:r>
              <w:rPr>
                <w:sz w:val="17"/>
              </w:rPr>
              <w:t>Art. 26 — vendor obligations</w:t>
            </w:r>
          </w:p>
        </w:tc>
        <w:tc>
          <w:tcPr>
            <w:tcW w:type="dxa" w:w="1206"/>
          </w:tcPr>
          <w:p>
            <w:pPr>
              <w:spacing w:after="40"/>
            </w:pPr>
            <w:r/>
            <w:r>
              <w:rPr>
                <w:sz w:val="17"/>
              </w:rPr>
              <w:t>Vendor assessment and contract clauses in place</w:t>
            </w:r>
          </w:p>
        </w:tc>
        <w:tc>
          <w:tcPr>
            <w:tcW w:type="dxa" w:w="1206"/>
          </w:tcPr>
          <w:p>
            <w:pPr>
              <w:spacing w:after="40"/>
            </w:pPr>
            <w:r/>
            <w:r>
              <w:rPr>
                <w:sz w:val="17"/>
              </w:rPr>
              <w:t>Preventive</w:t>
            </w:r>
          </w:p>
        </w:tc>
        <w:tc>
          <w:tcPr>
            <w:tcW w:type="dxa" w:w="1206"/>
          </w:tcPr>
          <w:p>
            <w:pPr>
              <w:spacing w:after="40"/>
            </w:pPr>
            <w:r/>
            <w:r>
              <w:rPr>
                <w:sz w:val="17"/>
              </w:rPr>
              <w:t>Per vendor</w:t>
            </w:r>
          </w:p>
        </w:tc>
        <w:tc>
          <w:tcPr>
            <w:tcW w:type="dxa" w:w="1206"/>
          </w:tcPr>
          <w:p>
            <w:pPr>
              <w:spacing w:after="40"/>
            </w:pPr>
            <w:r/>
            <w:r>
              <w:rPr>
                <w:sz w:val="17"/>
              </w:rPr>
              <w:t>Procurement</w:t>
            </w:r>
          </w:p>
        </w:tc>
        <w:tc>
          <w:tcPr>
            <w:tcW w:type="dxa" w:w="1206"/>
          </w:tcPr>
          <w:p>
            <w:pPr>
              <w:spacing w:after="40"/>
            </w:pPr>
            <w:r/>
            <w:r>
              <w:rPr>
                <w:sz w:val="17"/>
              </w:rPr>
              <w:t>Assessment; contract</w:t>
            </w:r>
          </w:p>
        </w:tc>
        <w:tc>
          <w:tcPr>
            <w:tcW w:type="dxa" w:w="1206"/>
          </w:tcPr>
          <w:p>
            <w:pPr>
              <w:spacing w:after="40"/>
            </w:pPr>
            <w:r/>
            <w:r>
              <w:rPr>
                <w:sz w:val="17"/>
              </w:rPr>
              <w:t>2L annual</w:t>
            </w:r>
          </w:p>
        </w:tc>
      </w:tr>
      <w:tr>
        <w:tc>
          <w:tcPr>
            <w:tcW w:type="dxa" w:w="1206"/>
          </w:tcPr>
          <w:p>
            <w:pPr>
              <w:spacing w:after="40"/>
            </w:pPr>
            <w:r/>
            <w:r>
              <w:rPr>
                <w:sz w:val="17"/>
              </w:rPr>
              <w:t>C-13</w:t>
            </w:r>
          </w:p>
        </w:tc>
        <w:tc>
          <w:tcPr>
            <w:tcW w:type="dxa" w:w="1206"/>
          </w:tcPr>
          <w:p>
            <w:pPr>
              <w:spacing w:after="40"/>
            </w:pPr>
            <w:r/>
            <w:r>
              <w:rPr>
                <w:sz w:val="17"/>
              </w:rPr>
              <w:t>GDPR Art. 35 — DPIA</w:t>
            </w:r>
          </w:p>
        </w:tc>
        <w:tc>
          <w:tcPr>
            <w:tcW w:type="dxa" w:w="1206"/>
          </w:tcPr>
          <w:p>
            <w:pPr>
              <w:spacing w:after="40"/>
            </w:pPr>
            <w:r/>
            <w:r>
              <w:rPr>
                <w:sz w:val="17"/>
              </w:rPr>
              <w:t>DPIA completed before high-risk processing</w:t>
            </w:r>
          </w:p>
        </w:tc>
        <w:tc>
          <w:tcPr>
            <w:tcW w:type="dxa" w:w="1206"/>
          </w:tcPr>
          <w:p>
            <w:pPr>
              <w:spacing w:after="40"/>
            </w:pPr>
            <w:r/>
            <w:r>
              <w:rPr>
                <w:sz w:val="17"/>
              </w:rPr>
              <w:t>Preventive</w:t>
            </w:r>
          </w:p>
        </w:tc>
        <w:tc>
          <w:tcPr>
            <w:tcW w:type="dxa" w:w="1206"/>
          </w:tcPr>
          <w:p>
            <w:pPr>
              <w:spacing w:after="40"/>
            </w:pPr>
            <w:r/>
            <w:r>
              <w:rPr>
                <w:sz w:val="17"/>
              </w:rPr>
              <w:t>Per activity</w:t>
            </w:r>
          </w:p>
        </w:tc>
        <w:tc>
          <w:tcPr>
            <w:tcW w:type="dxa" w:w="1206"/>
          </w:tcPr>
          <w:p>
            <w:pPr>
              <w:spacing w:after="40"/>
            </w:pPr>
            <w:r/>
            <w:r>
              <w:rPr>
                <w:sz w:val="17"/>
              </w:rPr>
              <w:t>DPO</w:t>
            </w:r>
          </w:p>
        </w:tc>
        <w:tc>
          <w:tcPr>
            <w:tcW w:type="dxa" w:w="1206"/>
          </w:tcPr>
          <w:p>
            <w:pPr>
              <w:spacing w:after="40"/>
            </w:pPr>
            <w:r/>
            <w:r>
              <w:rPr>
                <w:sz w:val="17"/>
              </w:rPr>
              <w:t>Processing Dpia Log</w:t>
            </w:r>
          </w:p>
        </w:tc>
        <w:tc>
          <w:tcPr>
            <w:tcW w:type="dxa" w:w="1206"/>
          </w:tcPr>
          <w:p>
            <w:pPr>
              <w:spacing w:after="40"/>
            </w:pPr>
            <w:r/>
            <w:r>
              <w:rPr>
                <w:sz w:val="17"/>
              </w:rPr>
              <w:t>3L annual</w:t>
            </w:r>
          </w:p>
        </w:tc>
      </w:tr>
    </w:tbl>
    <w:p>
      <w:pPr>
        <w:spacing w:after="80"/>
      </w:pPr>
    </w:p>
    <w:p>
      <w:pPr>
        <w:spacing w:before="200" w:after="80"/>
      </w:pPr>
      <w:r>
        <w:rPr>
          <w:b/>
          <w:color w:val="3F51B5"/>
          <w:sz w:val="24"/>
        </w:rPr>
        <w:t>Assurance map</w:t>
      </w:r>
    </w:p>
    <w:p>
      <w:pPr>
        <w:spacing w:after="120"/>
      </w:pPr>
      <w:r>
        <w:rPr>
          <w:i w:val="0"/>
          <w:sz w:val="21"/>
        </w:rPr>
        <w:t>Shows who checks what, and exposes obligations nobody is assuring.</w:t>
      </w:r>
    </w:p>
    <w:tbl>
      <w:tblPr>
        <w:tblStyle w:val="TableGrid"/>
        <w:tblW w:type="auto" w:w="0"/>
        <w:jc w:val="center"/>
        <w:tblLook w:firstColumn="1" w:firstRow="1" w:lastColumn="0" w:lastRow="0" w:noHBand="0" w:noVBand="1" w:val="04A0"/>
      </w:tblPr>
      <w:tblGrid>
        <w:gridCol w:w="1930"/>
        <w:gridCol w:w="1930"/>
        <w:gridCol w:w="1930"/>
        <w:gridCol w:w="1930"/>
        <w:gridCol w:w="1930"/>
      </w:tblGrid>
      <w:tr>
        <w:tc>
          <w:tcPr>
            <w:tcW w:type="dxa" w:w="1930"/>
          </w:tcPr>
          <w:p>
            <w:pPr>
              <w:spacing w:after="40"/>
            </w:pPr>
            <w:r/>
            <w:r>
              <w:rPr>
                <w:b/>
                <w:sz w:val="17"/>
              </w:rPr>
              <w:t>Obligation area</w:t>
            </w:r>
          </w:p>
        </w:tc>
        <w:tc>
          <w:tcPr>
            <w:tcW w:type="dxa" w:w="1930"/>
          </w:tcPr>
          <w:p>
            <w:pPr>
              <w:spacing w:after="40"/>
            </w:pPr>
            <w:r/>
            <w:r>
              <w:rPr>
                <w:b/>
                <w:sz w:val="17"/>
              </w:rPr>
              <w:t>1L — does it</w:t>
            </w:r>
          </w:p>
        </w:tc>
        <w:tc>
          <w:tcPr>
            <w:tcW w:type="dxa" w:w="1930"/>
          </w:tcPr>
          <w:p>
            <w:pPr>
              <w:spacing w:after="40"/>
            </w:pPr>
            <w:r/>
            <w:r>
              <w:rPr>
                <w:b/>
                <w:sz w:val="17"/>
              </w:rPr>
              <w:t>2L — challenges</w:t>
            </w:r>
          </w:p>
        </w:tc>
        <w:tc>
          <w:tcPr>
            <w:tcW w:type="dxa" w:w="1930"/>
          </w:tcPr>
          <w:p>
            <w:pPr>
              <w:spacing w:after="40"/>
            </w:pPr>
            <w:r/>
            <w:r>
              <w:rPr>
                <w:b/>
                <w:sz w:val="17"/>
              </w:rPr>
              <w:t>3L — assures</w:t>
            </w:r>
          </w:p>
        </w:tc>
        <w:tc>
          <w:tcPr>
            <w:tcW w:type="dxa" w:w="1930"/>
          </w:tcPr>
          <w:p>
            <w:pPr>
              <w:spacing w:after="40"/>
            </w:pPr>
            <w:r/>
            <w:r>
              <w:rPr>
                <w:b/>
                <w:sz w:val="17"/>
              </w:rPr>
              <w:t>Gaps</w:t>
            </w:r>
          </w:p>
        </w:tc>
      </w:tr>
      <w:tr>
        <w:tc>
          <w:tcPr>
            <w:tcW w:type="dxa" w:w="1930"/>
          </w:tcPr>
          <w:p>
            <w:pPr>
              <w:spacing w:after="40"/>
            </w:pPr>
            <w:r/>
            <w:r>
              <w:rPr>
                <w:sz w:val="17"/>
              </w:rPr>
              <w:t>Prohibited practices</w:t>
            </w:r>
          </w:p>
        </w:tc>
        <w:tc>
          <w:tcPr>
            <w:tcW w:type="dxa" w:w="1930"/>
          </w:tcPr>
          <w:p>
            <w:pPr>
              <w:spacing w:after="40"/>
            </w:pPr>
            <w:r/>
            <w:r>
              <w:rPr>
                <w:sz w:val="17"/>
              </w:rPr>
              <w:t>Product / ML</w:t>
            </w:r>
          </w:p>
        </w:tc>
        <w:tc>
          <w:tcPr>
            <w:tcW w:type="dxa" w:w="1930"/>
          </w:tcPr>
          <w:p>
            <w:pPr>
              <w:spacing w:after="40"/>
            </w:pPr>
            <w:r/>
            <w:r>
              <w:rPr>
                <w:sz w:val="17"/>
              </w:rPr>
              <w:t>Governance</w:t>
            </w:r>
          </w:p>
        </w:tc>
        <w:tc>
          <w:tcPr>
            <w:tcW w:type="dxa" w:w="1930"/>
          </w:tcPr>
          <w:p>
            <w:pPr>
              <w:spacing w:after="40"/>
            </w:pPr>
            <w:r/>
            <w:r>
              <w:rPr>
                <w:sz w:val="17"/>
              </w:rPr>
              <w:t>Audit</w:t>
            </w:r>
          </w:p>
        </w:tc>
        <w:tc>
          <w:tcPr>
            <w:tcW w:type="dxa" w:w="1930"/>
          </w:tcPr>
          <w:p>
            <w:pPr>
              <w:spacing w:after="40"/>
            </w:pPr>
            <w:r/>
            <w:r>
              <w:rPr>
                <w:sz w:val="17"/>
              </w:rPr>
            </w:r>
          </w:p>
        </w:tc>
      </w:tr>
      <w:tr>
        <w:tc>
          <w:tcPr>
            <w:tcW w:type="dxa" w:w="1930"/>
          </w:tcPr>
          <w:p>
            <w:pPr>
              <w:spacing w:after="40"/>
            </w:pPr>
            <w:r/>
            <w:r>
              <w:rPr>
                <w:sz w:val="17"/>
              </w:rPr>
              <w:t>Classification</w:t>
            </w:r>
          </w:p>
        </w:tc>
        <w:tc>
          <w:tcPr>
            <w:tcW w:type="dxa" w:w="1930"/>
          </w:tcPr>
          <w:p>
            <w:pPr>
              <w:spacing w:after="40"/>
            </w:pPr>
            <w:r/>
            <w:r>
              <w:rPr>
                <w:sz w:val="17"/>
              </w:rPr>
              <w:t>Gov Lead</w:t>
            </w:r>
          </w:p>
        </w:tc>
        <w:tc>
          <w:tcPr>
            <w:tcW w:type="dxa" w:w="1930"/>
          </w:tcPr>
          <w:p>
            <w:pPr>
              <w:spacing w:after="40"/>
            </w:pPr>
            <w:r/>
            <w:r>
              <w:rPr>
                <w:sz w:val="17"/>
              </w:rPr>
              <w:t>Legal</w:t>
            </w:r>
          </w:p>
        </w:tc>
        <w:tc>
          <w:tcPr>
            <w:tcW w:type="dxa" w:w="1930"/>
          </w:tcPr>
          <w:p>
            <w:pPr>
              <w:spacing w:after="40"/>
            </w:pPr>
            <w:r/>
            <w:r>
              <w:rPr>
                <w:sz w:val="17"/>
              </w:rPr>
              <w:t>Audit</w:t>
            </w:r>
          </w:p>
        </w:tc>
        <w:tc>
          <w:tcPr>
            <w:tcW w:type="dxa" w:w="1930"/>
          </w:tcPr>
          <w:p>
            <w:pPr>
              <w:spacing w:after="40"/>
            </w:pPr>
            <w:r/>
            <w:r>
              <w:rPr>
                <w:sz w:val="17"/>
              </w:rPr>
            </w:r>
          </w:p>
        </w:tc>
      </w:tr>
      <w:tr>
        <w:tc>
          <w:tcPr>
            <w:tcW w:type="dxa" w:w="1930"/>
          </w:tcPr>
          <w:p>
            <w:pPr>
              <w:spacing w:after="40"/>
            </w:pPr>
            <w:r/>
            <w:r>
              <w:rPr>
                <w:sz w:val="17"/>
              </w:rPr>
              <w:t>Risk management</w:t>
            </w:r>
          </w:p>
        </w:tc>
        <w:tc>
          <w:tcPr>
            <w:tcW w:type="dxa" w:w="1930"/>
          </w:tcPr>
          <w:p>
            <w:pPr>
              <w:spacing w:after="40"/>
            </w:pPr>
            <w:r/>
            <w:r>
              <w:rPr>
                <w:sz w:val="17"/>
              </w:rPr>
              <w:t>AI Owners</w:t>
            </w:r>
          </w:p>
        </w:tc>
        <w:tc>
          <w:tcPr>
            <w:tcW w:type="dxa" w:w="1930"/>
          </w:tcPr>
          <w:p>
            <w:pPr>
              <w:spacing w:after="40"/>
            </w:pPr>
            <w:r/>
            <w:r>
              <w:rPr>
                <w:sz w:val="17"/>
              </w:rPr>
              <w:t>Risk</w:t>
            </w:r>
          </w:p>
        </w:tc>
        <w:tc>
          <w:tcPr>
            <w:tcW w:type="dxa" w:w="1930"/>
          </w:tcPr>
          <w:p>
            <w:pPr>
              <w:spacing w:after="40"/>
            </w:pPr>
            <w:r/>
            <w:r>
              <w:rPr>
                <w:sz w:val="17"/>
              </w:rPr>
              <w:t>Audit</w:t>
            </w:r>
          </w:p>
        </w:tc>
        <w:tc>
          <w:tcPr>
            <w:tcW w:type="dxa" w:w="1930"/>
          </w:tcPr>
          <w:p>
            <w:pPr>
              <w:spacing w:after="40"/>
            </w:pPr>
            <w:r/>
            <w:r>
              <w:rPr>
                <w:sz w:val="17"/>
              </w:rPr>
            </w:r>
          </w:p>
        </w:tc>
      </w:tr>
      <w:tr>
        <w:tc>
          <w:tcPr>
            <w:tcW w:type="dxa" w:w="1930"/>
          </w:tcPr>
          <w:p>
            <w:pPr>
              <w:spacing w:after="40"/>
            </w:pPr>
            <w:r/>
            <w:r>
              <w:rPr>
                <w:sz w:val="17"/>
              </w:rPr>
              <w:t>Data governance</w:t>
            </w:r>
          </w:p>
        </w:tc>
        <w:tc>
          <w:tcPr>
            <w:tcW w:type="dxa" w:w="1930"/>
          </w:tcPr>
          <w:p>
            <w:pPr>
              <w:spacing w:after="40"/>
            </w:pPr>
            <w:r/>
            <w:r>
              <w:rPr>
                <w:sz w:val="17"/>
              </w:rPr>
              <w:t>Data Owners</w:t>
            </w:r>
          </w:p>
        </w:tc>
        <w:tc>
          <w:tcPr>
            <w:tcW w:type="dxa" w:w="1930"/>
          </w:tcPr>
          <w:p>
            <w:pPr>
              <w:spacing w:after="40"/>
            </w:pPr>
            <w:r/>
            <w:r>
              <w:rPr>
                <w:sz w:val="17"/>
              </w:rPr>
              <w:t>Governance</w:t>
            </w:r>
          </w:p>
        </w:tc>
        <w:tc>
          <w:tcPr>
            <w:tcW w:type="dxa" w:w="1930"/>
          </w:tcPr>
          <w:p>
            <w:pPr>
              <w:spacing w:after="40"/>
            </w:pPr>
            <w:r/>
            <w:r>
              <w:rPr>
                <w:sz w:val="17"/>
              </w:rPr>
              <w:t>Audit</w:t>
            </w:r>
          </w:p>
        </w:tc>
        <w:tc>
          <w:tcPr>
            <w:tcW w:type="dxa" w:w="1930"/>
          </w:tcPr>
          <w:p>
            <w:pPr>
              <w:spacing w:after="40"/>
            </w:pPr>
            <w:r/>
            <w:r>
              <w:rPr>
                <w:sz w:val="17"/>
              </w:rPr>
            </w:r>
          </w:p>
        </w:tc>
      </w:tr>
      <w:tr>
        <w:tc>
          <w:tcPr>
            <w:tcW w:type="dxa" w:w="1930"/>
          </w:tcPr>
          <w:p>
            <w:pPr>
              <w:spacing w:after="40"/>
            </w:pPr>
            <w:r/>
            <w:r>
              <w:rPr>
                <w:sz w:val="17"/>
              </w:rPr>
              <w:t>Documentation</w:t>
            </w:r>
          </w:p>
        </w:tc>
        <w:tc>
          <w:tcPr>
            <w:tcW w:type="dxa" w:w="1930"/>
          </w:tcPr>
          <w:p>
            <w:pPr>
              <w:spacing w:after="40"/>
            </w:pPr>
            <w:r/>
            <w:r>
              <w:rPr>
                <w:sz w:val="17"/>
              </w:rPr>
              <w:t>ML teams</w:t>
            </w:r>
          </w:p>
        </w:tc>
        <w:tc>
          <w:tcPr>
            <w:tcW w:type="dxa" w:w="1930"/>
          </w:tcPr>
          <w:p>
            <w:pPr>
              <w:spacing w:after="40"/>
            </w:pPr>
            <w:r/>
            <w:r>
              <w:rPr>
                <w:sz w:val="17"/>
              </w:rPr>
              <w:t>Governance</w:t>
            </w:r>
          </w:p>
        </w:tc>
        <w:tc>
          <w:tcPr>
            <w:tcW w:type="dxa" w:w="1930"/>
          </w:tcPr>
          <w:p>
            <w:pPr>
              <w:spacing w:after="40"/>
            </w:pPr>
            <w:r/>
            <w:r>
              <w:rPr>
                <w:sz w:val="17"/>
              </w:rPr>
              <w:t>Audit</w:t>
            </w:r>
          </w:p>
        </w:tc>
        <w:tc>
          <w:tcPr>
            <w:tcW w:type="dxa" w:w="1930"/>
          </w:tcPr>
          <w:p>
            <w:pPr>
              <w:spacing w:after="40"/>
            </w:pPr>
            <w:r/>
            <w:r>
              <w:rPr>
                <w:sz w:val="17"/>
              </w:rPr>
            </w:r>
          </w:p>
        </w:tc>
      </w:tr>
      <w:tr>
        <w:tc>
          <w:tcPr>
            <w:tcW w:type="dxa" w:w="1930"/>
          </w:tcPr>
          <w:p>
            <w:pPr>
              <w:spacing w:after="40"/>
            </w:pPr>
            <w:r/>
            <w:r>
              <w:rPr>
                <w:sz w:val="17"/>
              </w:rPr>
              <w:t>Human oversight</w:t>
            </w:r>
          </w:p>
        </w:tc>
        <w:tc>
          <w:tcPr>
            <w:tcW w:type="dxa" w:w="1930"/>
          </w:tcPr>
          <w:p>
            <w:pPr>
              <w:spacing w:after="40"/>
            </w:pPr>
            <w:r/>
            <w:r>
              <w:rPr>
                <w:sz w:val="17"/>
              </w:rPr>
              <w:t>Product</w:t>
            </w:r>
          </w:p>
        </w:tc>
        <w:tc>
          <w:tcPr>
            <w:tcW w:type="dxa" w:w="1930"/>
          </w:tcPr>
          <w:p>
            <w:pPr>
              <w:spacing w:after="40"/>
            </w:pPr>
            <w:r/>
            <w:r>
              <w:rPr>
                <w:sz w:val="17"/>
              </w:rPr>
              <w:t>Governance</w:t>
            </w:r>
          </w:p>
        </w:tc>
        <w:tc>
          <w:tcPr>
            <w:tcW w:type="dxa" w:w="1930"/>
          </w:tcPr>
          <w:p>
            <w:pPr>
              <w:spacing w:after="40"/>
            </w:pPr>
            <w:r/>
            <w:r>
              <w:rPr>
                <w:sz w:val="17"/>
              </w:rPr>
              <w:t>Audit</w:t>
            </w:r>
          </w:p>
        </w:tc>
        <w:tc>
          <w:tcPr>
            <w:tcW w:type="dxa" w:w="1930"/>
          </w:tcPr>
          <w:p>
            <w:pPr>
              <w:spacing w:after="40"/>
            </w:pPr>
            <w:r/>
            <w:r>
              <w:rPr>
                <w:sz w:val="17"/>
              </w:rPr>
            </w:r>
          </w:p>
        </w:tc>
      </w:tr>
      <w:tr>
        <w:tc>
          <w:tcPr>
            <w:tcW w:type="dxa" w:w="1930"/>
          </w:tcPr>
          <w:p>
            <w:pPr>
              <w:spacing w:after="40"/>
            </w:pPr>
            <w:r/>
            <w:r>
              <w:rPr>
                <w:sz w:val="17"/>
              </w:rPr>
              <w:t>Transparency</w:t>
            </w:r>
          </w:p>
        </w:tc>
        <w:tc>
          <w:tcPr>
            <w:tcW w:type="dxa" w:w="1930"/>
          </w:tcPr>
          <w:p>
            <w:pPr>
              <w:spacing w:after="40"/>
            </w:pPr>
            <w:r/>
            <w:r>
              <w:rPr>
                <w:sz w:val="17"/>
              </w:rPr>
              <w:t>Product</w:t>
            </w:r>
          </w:p>
        </w:tc>
        <w:tc>
          <w:tcPr>
            <w:tcW w:type="dxa" w:w="1930"/>
          </w:tcPr>
          <w:p>
            <w:pPr>
              <w:spacing w:after="40"/>
            </w:pPr>
            <w:r/>
            <w:r>
              <w:rPr>
                <w:sz w:val="17"/>
              </w:rPr>
              <w:t>Legal</w:t>
            </w:r>
          </w:p>
        </w:tc>
        <w:tc>
          <w:tcPr>
            <w:tcW w:type="dxa" w:w="1930"/>
          </w:tcPr>
          <w:p>
            <w:pPr>
              <w:spacing w:after="40"/>
            </w:pPr>
            <w:r/>
            <w:r>
              <w:rPr>
                <w:sz w:val="17"/>
              </w:rPr>
              <w:t>Audit</w:t>
            </w:r>
          </w:p>
        </w:tc>
        <w:tc>
          <w:tcPr>
            <w:tcW w:type="dxa" w:w="1930"/>
          </w:tcPr>
          <w:p>
            <w:pPr>
              <w:spacing w:after="40"/>
            </w:pPr>
            <w:r/>
            <w:r>
              <w:rPr>
                <w:sz w:val="17"/>
              </w:rPr>
            </w:r>
          </w:p>
        </w:tc>
      </w:tr>
      <w:tr>
        <w:tc>
          <w:tcPr>
            <w:tcW w:type="dxa" w:w="1930"/>
          </w:tcPr>
          <w:p>
            <w:pPr>
              <w:spacing w:after="40"/>
            </w:pPr>
            <w:r/>
            <w:r>
              <w:rPr>
                <w:sz w:val="17"/>
              </w:rPr>
              <w:t>Third party</w:t>
            </w:r>
          </w:p>
        </w:tc>
        <w:tc>
          <w:tcPr>
            <w:tcW w:type="dxa" w:w="1930"/>
          </w:tcPr>
          <w:p>
            <w:pPr>
              <w:spacing w:after="40"/>
            </w:pPr>
            <w:r/>
            <w:r>
              <w:rPr>
                <w:sz w:val="17"/>
              </w:rPr>
              <w:t>Procurement</w:t>
            </w:r>
          </w:p>
        </w:tc>
        <w:tc>
          <w:tcPr>
            <w:tcW w:type="dxa" w:w="1930"/>
          </w:tcPr>
          <w:p>
            <w:pPr>
              <w:spacing w:after="40"/>
            </w:pPr>
            <w:r/>
            <w:r>
              <w:rPr>
                <w:sz w:val="17"/>
              </w:rPr>
              <w:t>Security / Legal</w:t>
            </w:r>
          </w:p>
        </w:tc>
        <w:tc>
          <w:tcPr>
            <w:tcW w:type="dxa" w:w="1930"/>
          </w:tcPr>
          <w:p>
            <w:pPr>
              <w:spacing w:after="40"/>
            </w:pPr>
            <w:r/>
            <w:r>
              <w:rPr>
                <w:sz w:val="17"/>
              </w:rPr>
              <w:t>Audit</w:t>
            </w:r>
          </w:p>
        </w:tc>
        <w:tc>
          <w:tcPr>
            <w:tcW w:type="dxa" w:w="1930"/>
          </w:tcPr>
          <w:p>
            <w:pPr>
              <w:spacing w:after="40"/>
            </w:pPr>
            <w:r/>
            <w:r>
              <w:rPr>
                <w:sz w:val="17"/>
              </w:rPr>
            </w:r>
          </w:p>
        </w:tc>
      </w:tr>
      <w:tr>
        <w:tc>
          <w:tcPr>
            <w:tcW w:type="dxa" w:w="1930"/>
          </w:tcPr>
          <w:p>
            <w:pPr>
              <w:spacing w:after="40"/>
            </w:pPr>
            <w:r/>
            <w:r>
              <w:rPr>
                <w:sz w:val="17"/>
              </w:rPr>
              <w:t>Literacy</w:t>
            </w:r>
          </w:p>
        </w:tc>
        <w:tc>
          <w:tcPr>
            <w:tcW w:type="dxa" w:w="1930"/>
          </w:tcPr>
          <w:p>
            <w:pPr>
              <w:spacing w:after="40"/>
            </w:pPr>
            <w:r/>
            <w:r>
              <w:rPr>
                <w:sz w:val="17"/>
              </w:rPr>
              <w:t>HR</w:t>
            </w:r>
          </w:p>
        </w:tc>
        <w:tc>
          <w:tcPr>
            <w:tcW w:type="dxa" w:w="1930"/>
          </w:tcPr>
          <w:p>
            <w:pPr>
              <w:spacing w:after="40"/>
            </w:pPr>
            <w:r/>
            <w:r>
              <w:rPr>
                <w:sz w:val="17"/>
              </w:rPr>
              <w:t>Governance</w:t>
            </w:r>
          </w:p>
        </w:tc>
        <w:tc>
          <w:tcPr>
            <w:tcW w:type="dxa" w:w="1930"/>
          </w:tcPr>
          <w:p>
            <w:pPr>
              <w:spacing w:after="40"/>
            </w:pPr>
            <w:r/>
            <w:r>
              <w:rPr>
                <w:sz w:val="17"/>
              </w:rPr>
              <w:t>Audit</w:t>
            </w:r>
          </w:p>
        </w:tc>
        <w:tc>
          <w:tcPr>
            <w:tcW w:type="dxa" w:w="1930"/>
          </w:tcPr>
          <w:p>
            <w:pPr>
              <w:spacing w:after="40"/>
            </w:pPr>
            <w:r/>
            <w:r>
              <w:rPr>
                <w:sz w:val="17"/>
              </w:rPr>
            </w:r>
          </w:p>
        </w:tc>
      </w:tr>
    </w:tbl>
    <w:p>
      <w:pPr>
        <w:spacing w:after="80"/>
      </w:pPr>
    </w:p>
    <w:p>
      <w:pPr>
        <w:spacing w:before="160" w:after="80"/>
      </w:pPr>
      <w:r>
        <w:rPr>
          <w:b/>
          <w:color w:val="3F51B5"/>
          <w:sz w:val="20"/>
        </w:rPr>
        <w:t>Look for the blank cells</w:t>
      </w:r>
    </w:p>
    <w:p>
      <w:pPr>
        <w:spacing w:after="120"/>
      </w:pPr>
      <w:r>
        <w:rPr>
          <w:i/>
          <w:color w:val="606060"/>
          <w:sz w:val="20"/>
        </w:rPr>
        <w:t>The value of this map is where a column is empty. An obligation with a first line but no assurance is a control you are trusting without ever checking.</w:t>
      </w:r>
    </w:p>
    <w:p>
      <w:pPr>
        <w:spacing w:before="200" w:after="80"/>
      </w:pPr>
      <w:r>
        <w:rPr>
          <w:b/>
          <w:color w:val="3F51B5"/>
          <w:sz w:val="24"/>
        </w:rPr>
        <w:t>Control testing</w:t>
      </w:r>
    </w:p>
    <w:tbl>
      <w:tblPr>
        <w:tblStyle w:val="TableGrid"/>
        <w:tblW w:type="auto" w:w="0"/>
        <w:jc w:val="center"/>
        <w:tblLook w:firstColumn="1" w:firstRow="1" w:lastColumn="0" w:lastRow="0" w:noHBand="0" w:noVBand="1" w:val="04A0"/>
      </w:tblPr>
      <w:tblGrid>
        <w:gridCol w:w="4824"/>
        <w:gridCol w:w="4824"/>
      </w:tblGrid>
      <w:tr>
        <w:tc>
          <w:tcPr>
            <w:tcW w:type="dxa" w:w="4824"/>
          </w:tcPr>
          <w:p>
            <w:pPr>
              <w:spacing w:after="40"/>
            </w:pPr>
            <w:r/>
            <w:r>
              <w:rPr>
                <w:b/>
                <w:sz w:val="17"/>
              </w:rPr>
              <w:t>Test type</w:t>
            </w:r>
          </w:p>
        </w:tc>
        <w:tc>
          <w:tcPr>
            <w:tcW w:type="dxa" w:w="4824"/>
          </w:tcPr>
          <w:p>
            <w:pPr>
              <w:spacing w:after="40"/>
            </w:pPr>
            <w:r/>
            <w:r>
              <w:rPr>
                <w:b/>
                <w:sz w:val="17"/>
              </w:rPr>
              <w:t>What it answers</w:t>
            </w:r>
          </w:p>
        </w:tc>
      </w:tr>
      <w:tr>
        <w:tc>
          <w:tcPr>
            <w:tcW w:type="dxa" w:w="4824"/>
          </w:tcPr>
          <w:p>
            <w:pPr>
              <w:spacing w:after="40"/>
            </w:pPr>
            <w:r/>
            <w:r>
              <w:rPr>
                <w:sz w:val="17"/>
              </w:rPr>
              <w:t>Design</w:t>
            </w:r>
          </w:p>
        </w:tc>
        <w:tc>
          <w:tcPr>
            <w:tcW w:type="dxa" w:w="4824"/>
          </w:tcPr>
          <w:p>
            <w:pPr>
              <w:spacing w:after="40"/>
            </w:pPr>
            <w:r/>
            <w:r>
              <w:rPr>
                <w:sz w:val="17"/>
              </w:rPr>
              <w:t>Would this control work if it operated as described?</w:t>
            </w:r>
          </w:p>
        </w:tc>
      </w:tr>
      <w:tr>
        <w:tc>
          <w:tcPr>
            <w:tcW w:type="dxa" w:w="4824"/>
          </w:tcPr>
          <w:p>
            <w:pPr>
              <w:spacing w:after="40"/>
            </w:pPr>
            <w:r/>
            <w:r>
              <w:rPr>
                <w:sz w:val="17"/>
              </w:rPr>
              <w:t>Operating effectiveness</w:t>
            </w:r>
          </w:p>
        </w:tc>
        <w:tc>
          <w:tcPr>
            <w:tcW w:type="dxa" w:w="4824"/>
          </w:tcPr>
          <w:p>
            <w:pPr>
              <w:spacing w:after="40"/>
            </w:pPr>
            <w:r/>
            <w:r>
              <w:rPr>
                <w:sz w:val="17"/>
              </w:rPr>
              <w:t>Did it actually operate, over the period?</w:t>
            </w:r>
          </w:p>
        </w:tc>
      </w:tr>
    </w:tbl>
    <w:p>
      <w:pPr>
        <w:spacing w:after="80"/>
      </w:pPr>
    </w:p>
    <w:p>
      <w:pPr>
        <w:spacing w:after="120"/>
      </w:pPr>
      <w:r>
        <w:rPr>
          <w:i w:val="0"/>
          <w:sz w:val="21"/>
        </w:rPr>
        <w:t>Test controls on this cycle: Annually for high-risk controls; a risk-based sample for the rest (unless: Quarterly for any control that has failed in the last twelve months.) Record failures in the Incident Log and the Risk Register.</w:t>
      </w:r>
    </w:p>
    <w:p>
      <w:pPr>
        <w:spacing w:before="280" w:after="80"/>
      </w:pPr>
      <w:r>
        <w:rPr>
          <w:b/>
          <w:color w:val="3F51B5"/>
          <w:sz w:val="28"/>
        </w:rPr>
        <w:t>Adaptation notes</w:t>
      </w:r>
    </w:p>
    <w:p>
      <w:pPr>
        <w:pStyle w:val="ListBullet"/>
        <w:spacing w:after="80"/>
      </w:pPr>
      <w:r>
        <w:rPr>
          <w:b/>
          <w:sz w:val="21"/>
        </w:rPr>
        <w:t xml:space="preserve">Small organisations: </w:t>
      </w:r>
      <w:r>
        <w:rPr>
          <w:sz w:val="21"/>
        </w:rPr>
        <w:t>Controls C-01, C-02, C-05, and C-07 give you the most coverage for the least effort. Self-assessment substitutes for a third line, but say so openly rather than implying independence you do not have.</w:t>
      </w:r>
    </w:p>
    <w:p>
      <w:pPr>
        <w:pStyle w:val="ListBullet"/>
        <w:spacing w:after="80"/>
      </w:pPr>
      <w:r>
        <w:rPr>
          <w:b/>
          <w:sz w:val="21"/>
        </w:rPr>
        <w:t xml:space="preserve">Existing GRC tooling: </w:t>
      </w:r>
      <w:r>
        <w:rPr>
          <w:sz w:val="21"/>
        </w:rPr>
        <w:t>Load these as a control set in the tool you already have rather than maintaining a separate spreadsheet.</w:t>
      </w:r>
    </w:p>
    <w:p>
      <w:pPr>
        <w:pStyle w:val="ListBullet"/>
        <w:spacing w:after="80"/>
      </w:pPr>
      <w:r>
        <w:rPr>
          <w:b/>
          <w:sz w:val="21"/>
        </w:rPr>
        <w:t xml:space="preserve">ISO/IEC 42001 or NIST AI RMF: </w:t>
      </w:r>
      <w:r>
        <w:rPr>
          <w:sz w:val="21"/>
        </w:rPr>
        <w:t>Add a column mapping each control to the corresponding clause or function, so a single control satisfies several frameworks and you test it once.</w:t>
      </w:r>
    </w:p>
    <w:p/>
    <w:p>
      <w:pPr>
        <w:spacing w:before="200"/>
      </w:pPr>
      <w:r>
        <w:rPr>
          <w:i/>
          <w:color w:val="606060"/>
          <w:sz w:val="17"/>
        </w:rPr>
        <w:t>Not legal advice. This template is a head start, not a substitute for professional judgement. Adapt it to your jurisdiction, sector, and risk appetite, and have qualified counsel review anything material before you rely on it.</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