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3F51B5"/>
          <w:sz w:val="40"/>
        </w:rPr>
        <w:t>Committee Charter (Terms of Reference)</w:t>
      </w:r>
    </w:p>
    <w:p>
      <w:pPr>
        <w:spacing w:after="240"/>
      </w:pPr>
      <w:r>
        <w:rPr>
          <w:i/>
          <w:color w:val="606060"/>
          <w:sz w:val="17"/>
        </w:rPr>
        <w:t>Open Data &amp; AI Governance Kit  ·  Licensed CC BY 4.0  ·  https://lsdeva.github.io/governance-kit/</w:t>
      </w:r>
    </w:p>
    <w:p>
      <w:pPr>
        <w:spacing w:after="120"/>
      </w:pPr>
      <w:r>
        <w:rPr>
          <w:b/>
          <w:sz w:val="21"/>
        </w:rPr>
        <w:t xml:space="preserve">Purpose. </w:t>
      </w:r>
      <w:r>
        <w:rPr>
          <w:sz w:val="21"/>
        </w:rPr>
        <w:t>Establishes the forum where governance decisions are actually made: its authority, membership, quorum, cadence, and what it must decide rather than merely discuss.</w:t>
      </w:r>
    </w:p>
    <w:p>
      <w:pPr>
        <w:spacing w:after="120"/>
      </w:pPr>
      <w:r>
        <w:rPr>
          <w:b/>
          <w:sz w:val="21"/>
        </w:rPr>
        <w:t xml:space="preserve">When to use it. </w:t>
      </w:r>
      <w:r>
        <w:rPr>
          <w:sz w:val="21"/>
        </w:rPr>
        <w:t>When standing up the committee, then reviewed annually. Revisit if meetings routinely fail to reach decisions.</w:t>
      </w:r>
    </w:p>
    <w:p>
      <w:pPr>
        <w:spacing w:after="120"/>
      </w:pPr>
      <w:r>
        <w:rPr>
          <w:b/>
          <w:sz w:val="21"/>
        </w:rPr>
        <w:t xml:space="preserve">How to use it. </w:t>
      </w:r>
      <w:r>
        <w:rPr>
          <w:sz w:val="21"/>
        </w:rPr>
        <w:t>Be specific about decision rights and quorum. The most common failure is a committee that discusses at length and decides nothing, because nobody established what it is empowered to settle on its own.</w:t>
      </w:r>
    </w:p>
    <w:p/>
    <w:p>
      <w:pPr>
        <w:spacing w:before="200" w:after="80"/>
      </w:pPr>
      <w:r>
        <w:rPr>
          <w:b/>
          <w:color w:val="3F51B5"/>
          <w:sz w:val="24"/>
        </w:rPr>
        <w:t>1. Purpose</w:t>
      </w:r>
    </w:p>
    <w:p>
      <w:pPr>
        <w:spacing w:after="120"/>
      </w:pPr>
      <w:r>
        <w:rPr>
          <w:i w:val="0"/>
          <w:sz w:val="21"/>
        </w:rPr>
        <w:t>The [Data &amp; AI Governance Committee] is the decision-making forum for data and AI governance at [Organisation], established under Governance Charter.</w:t>
      </w:r>
    </w:p>
    <w:p>
      <w:pPr>
        <w:spacing w:before="200" w:after="80"/>
      </w:pPr>
      <w:r>
        <w:rPr>
          <w:b/>
          <w:color w:val="3F51B5"/>
          <w:sz w:val="24"/>
        </w:rPr>
        <w:t>2. Authority</w:t>
      </w:r>
    </w:p>
    <w:p>
      <w:pPr>
        <w:spacing w:after="120"/>
      </w:pPr>
      <w:r>
        <w:rPr>
          <w:i w:val="0"/>
          <w:sz w:val="21"/>
        </w:rPr>
        <w:t>The committee is authorised to:</w:t>
      </w:r>
    </w:p>
    <w:p>
      <w:pPr>
        <w:pStyle w:val="ListBullet"/>
        <w:spacing w:after="60"/>
      </w:pPr>
      <w:r>
        <w:rPr>
          <w:sz w:val="21"/>
        </w:rPr>
        <w:t>Approve frameworks, policies, and standards within its scope.</w:t>
      </w:r>
    </w:p>
    <w:p>
      <w:pPr>
        <w:pStyle w:val="ListBullet"/>
        <w:spacing w:after="60"/>
      </w:pPr>
      <w:r>
        <w:rPr>
          <w:sz w:val="21"/>
        </w:rPr>
        <w:t>Approve or refuse deployment of high-risk AI systems.</w:t>
      </w:r>
    </w:p>
    <w:p>
      <w:pPr>
        <w:pStyle w:val="ListBullet"/>
        <w:spacing w:after="60"/>
      </w:pPr>
      <w:r>
        <w:rPr>
          <w:sz w:val="21"/>
        </w:rPr>
        <w:t>Require remediation, or suspend a system, where risk is unacceptable.</w:t>
      </w:r>
    </w:p>
    <w:p>
      <w:pPr>
        <w:pStyle w:val="ListBullet"/>
        <w:spacing w:after="60"/>
      </w:pPr>
      <w:r>
        <w:rPr>
          <w:sz w:val="21"/>
        </w:rPr>
        <w:t>Approve exceptions to policy, with expiry dates.</w:t>
      </w:r>
    </w:p>
    <w:p>
      <w:pPr>
        <w:pStyle w:val="ListBullet"/>
        <w:spacing w:after="60"/>
      </w:pPr>
      <w:r>
        <w:rPr>
          <w:sz w:val="21"/>
        </w:rPr>
        <w:t>Escalate to [the Board / Audit &amp; Risk Committee].</w:t>
      </w:r>
    </w:p>
    <w:p>
      <w:pPr>
        <w:spacing w:after="120"/>
      </w:pPr>
      <w:r>
        <w:rPr>
          <w:i w:val="0"/>
          <w:sz w:val="21"/>
        </w:rPr>
        <w:t>Matters reserved to the Board: [risk appetite, charter changes, matters above [threshold]].</w:t>
      </w:r>
    </w:p>
    <w:p>
      <w:pPr>
        <w:spacing w:before="200" w:after="80"/>
      </w:pPr>
      <w:r>
        <w:rPr>
          <w:b/>
          <w:color w:val="3F51B5"/>
          <w:sz w:val="24"/>
        </w:rPr>
        <w:t>3. Membership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Role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Member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Voting?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Chair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[Exec sponsor]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Yes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Governance Lead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Yes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Data Owner representative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Yes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Technology / ML lead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Yes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Legal / DPO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Yes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Security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Yes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HR / People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Yes</w:t>
            </w:r>
          </w:p>
        </w:tc>
      </w:tr>
      <w:tr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Internal Audit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  <w:tc>
          <w:tcPr>
            <w:tcW w:type="dxa" w:w="3216"/>
          </w:tcPr>
          <w:p>
            <w:pPr>
              <w:spacing w:after="40"/>
            </w:pPr>
            <w:r/>
            <w:r>
              <w:rPr>
                <w:sz w:val="17"/>
              </w:rPr>
              <w:t>No — observer</w:t>
            </w:r>
          </w:p>
        </w:tc>
      </w:tr>
    </w:tbl>
    <w:p>
      <w:pPr>
        <w:spacing w:after="80"/>
      </w:pPr>
    </w:p>
    <w:p>
      <w:pPr>
        <w:spacing w:before="160" w:after="80"/>
      </w:pPr>
      <w:r>
        <w:rPr>
          <w:b/>
          <w:color w:val="3F51B5"/>
          <w:sz w:val="20"/>
        </w:rPr>
        <w:t>Audit observes, never votes</w:t>
      </w:r>
    </w:p>
    <w:p>
      <w:pPr>
        <w:spacing w:after="120"/>
      </w:pPr>
      <w:r>
        <w:rPr>
          <w:i/>
          <w:color w:val="606060"/>
          <w:sz w:val="20"/>
        </w:rPr>
        <w:t>If Internal Audit votes on a control, it cannot later provide independent assurance over that control. Keep the third line out of the decision.</w:t>
      </w:r>
    </w:p>
    <w:p>
      <w:pPr>
        <w:spacing w:before="200" w:after="80"/>
      </w:pPr>
      <w:r>
        <w:rPr>
          <w:b/>
          <w:color w:val="3F51B5"/>
          <w:sz w:val="24"/>
        </w:rPr>
        <w:t>4. Quorum &amp; decisions</w:t>
      </w:r>
    </w:p>
    <w:p>
      <w:pPr>
        <w:pStyle w:val="ListBullet"/>
        <w:spacing w:after="60"/>
      </w:pPr>
      <w:r>
        <w:rPr>
          <w:sz w:val="21"/>
        </w:rPr>
        <w:t>Quorum: Four voting members, and must include the chair (or a named delegate) and Legal/DPO (unless: In organisations under about 150 staff, three including the chair. Never drop the requirement for a legal or data-protection voice on decisions about personal data.).</w:t>
      </w:r>
    </w:p>
    <w:p>
      <w:pPr>
        <w:pStyle w:val="ListBullet"/>
        <w:spacing w:after="60"/>
      </w:pPr>
      <w:r>
        <w:rPr>
          <w:sz w:val="21"/>
        </w:rPr>
        <w:t>Decisions: by consensus where possible; otherwise a majority of voting members present. The Chair holds a casting vote.</w:t>
      </w:r>
    </w:p>
    <w:p>
      <w:pPr>
        <w:pStyle w:val="ListBullet"/>
        <w:spacing w:after="60"/>
      </w:pPr>
      <w:r>
        <w:rPr>
          <w:sz w:val="21"/>
        </w:rPr>
        <w:t>Dissent is minuted. A member who disagrees with a risk acceptance has it recorded by name.</w:t>
      </w:r>
    </w:p>
    <w:p>
      <w:pPr>
        <w:pStyle w:val="ListBullet"/>
        <w:spacing w:after="60"/>
      </w:pPr>
      <w:r>
        <w:rPr>
          <w:sz w:val="21"/>
        </w:rPr>
        <w:t>Out of cycle: urgent decisions by **[written procedure with 48h response]**, ratified at the next meeting.</w:t>
      </w:r>
    </w:p>
    <w:p>
      <w:pPr>
        <w:spacing w:before="200" w:after="80"/>
      </w:pPr>
      <w:r>
        <w:rPr>
          <w:b/>
          <w:color w:val="3F51B5"/>
          <w:sz w:val="24"/>
        </w:rPr>
        <w:t>5. Cadence &amp; agenda</w:t>
      </w:r>
    </w:p>
    <w:p>
      <w:pPr>
        <w:spacing w:after="120"/>
      </w:pPr>
      <w:r>
        <w:rPr>
          <w:i w:val="0"/>
          <w:sz w:val="21"/>
        </w:rPr>
        <w:t>Meets Monthly (unless: Quarterly is enough below roughly 150 staff with no high-risk systems. Fortnightly during an active remediation programme.). Standing agenda:</w:t>
      </w:r>
    </w:p>
    <w:p>
      <w:pPr>
        <w:pStyle w:val="ListNumber"/>
        <w:spacing w:after="60"/>
      </w:pPr>
      <w:r>
        <w:rPr>
          <w:sz w:val="21"/>
        </w:rPr>
        <w:t>Minutes and actions outstanding</w:t>
      </w:r>
    </w:p>
    <w:p>
      <w:pPr>
        <w:pStyle w:val="ListNumber"/>
        <w:spacing w:after="60"/>
      </w:pPr>
      <w:r>
        <w:rPr>
          <w:sz w:val="21"/>
        </w:rPr>
        <w:t>New AI systems for classification or approval</w:t>
      </w:r>
    </w:p>
    <w:p>
      <w:pPr>
        <w:pStyle w:val="ListNumber"/>
        <w:spacing w:after="60"/>
      </w:pPr>
      <w:r>
        <w:rPr>
          <w:sz w:val="21"/>
        </w:rPr>
        <w:t>Risk register — new, changed, and escalated items</w:t>
      </w:r>
    </w:p>
    <w:p>
      <w:pPr>
        <w:pStyle w:val="ListNumber"/>
        <w:spacing w:after="60"/>
      </w:pPr>
      <w:r>
        <w:rPr>
          <w:sz w:val="21"/>
        </w:rPr>
        <w:t>Incidents since last meeting</w:t>
      </w:r>
    </w:p>
    <w:p>
      <w:pPr>
        <w:pStyle w:val="ListNumber"/>
        <w:spacing w:after="60"/>
      </w:pPr>
      <w:r>
        <w:rPr>
          <w:sz w:val="21"/>
        </w:rPr>
        <w:t>Policy exceptions requested and expiring</w:t>
      </w:r>
    </w:p>
    <w:p>
      <w:pPr>
        <w:pStyle w:val="ListNumber"/>
        <w:spacing w:after="60"/>
      </w:pPr>
      <w:r>
        <w:rPr>
          <w:sz w:val="21"/>
        </w:rPr>
        <w:t>Regulatory horizon (EU AI Act milestones)</w:t>
      </w:r>
    </w:p>
    <w:p>
      <w:pPr>
        <w:pStyle w:val="ListNumber"/>
        <w:spacing w:after="60"/>
      </w:pPr>
      <w:r>
        <w:rPr>
          <w:sz w:val="21"/>
        </w:rPr>
        <w:t>Metrics — see Kpi Dashboard</w:t>
      </w:r>
    </w:p>
    <w:p>
      <w:pPr>
        <w:pStyle w:val="ListNumber"/>
        <w:spacing w:after="60"/>
      </w:pPr>
      <w:r>
        <w:rPr>
          <w:sz w:val="21"/>
        </w:rPr>
        <w:t>Decisions required</w:t>
      </w:r>
    </w:p>
    <w:p>
      <w:pPr>
        <w:pStyle w:val="ListNumber"/>
        <w:spacing w:after="60"/>
      </w:pPr>
      <w:r>
        <w:rPr>
          <w:sz w:val="21"/>
        </w:rPr>
        <w:t>AOB</w:t>
      </w:r>
    </w:p>
    <w:p>
      <w:pPr>
        <w:spacing w:before="200" w:after="80"/>
      </w:pPr>
      <w:r>
        <w:rPr>
          <w:b/>
          <w:color w:val="3F51B5"/>
          <w:sz w:val="24"/>
        </w:rPr>
        <w:t>6. Papers</w:t>
      </w:r>
    </w:p>
    <w:p>
      <w:pPr>
        <w:spacing w:after="120"/>
      </w:pPr>
      <w:r>
        <w:rPr>
          <w:i w:val="0"/>
          <w:sz w:val="21"/>
        </w:rPr>
        <w:t>Circulated Five working days (unless: Three days for a committee meeting fortnightly or more often.) in advance. Papers arriving late are deferred by default — otherwise deadlines get managed by ambushing the committee.</w:t>
      </w:r>
    </w:p>
    <w:p>
      <w:pPr>
        <w:spacing w:before="200" w:after="80"/>
      </w:pPr>
      <w:r>
        <w:rPr>
          <w:b/>
          <w:color w:val="3F51B5"/>
          <w:sz w:val="24"/>
        </w:rPr>
        <w:t>7. Reporting</w:t>
      </w:r>
    </w:p>
    <w:p>
      <w:pPr>
        <w:spacing w:after="120"/>
      </w:pPr>
      <w:r>
        <w:rPr>
          <w:i w:val="0"/>
          <w:sz w:val="21"/>
        </w:rPr>
        <w:t>Reports to [the Board] Quarterly (unless: Move to monthly while any high-risk system is unassessed, or after a serious incident, until the position is stable again.) using Board Pack. Minutes are retained for Six months minimum; twelve months for high-risk systems (unless: Longer where your sector's record-keeping rules or your limitation period require it. Shorter is rarely defensible for a high-risk system.) as evidence of governance.</w:t>
      </w:r>
    </w:p>
    <w:p>
      <w:pPr>
        <w:spacing w:before="200" w:after="80"/>
      </w:pPr>
      <w:r>
        <w:rPr>
          <w:b/>
          <w:color w:val="3F51B5"/>
          <w:sz w:val="24"/>
        </w:rPr>
        <w:t>8. Review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Version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Date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Approved by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Next review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0.1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[date]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[board]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[date]</w:t>
            </w:r>
          </w:p>
        </w:tc>
      </w:tr>
    </w:tbl>
    <w:p>
      <w:pPr>
        <w:spacing w:after="80"/>
      </w:pPr>
    </w:p>
    <w:p>
      <w:pPr>
        <w:spacing w:before="280" w:after="80"/>
      </w:pPr>
      <w:r>
        <w:rPr>
          <w:b/>
          <w:color w:val="3F51B5"/>
          <w:sz w:val="28"/>
        </w:rPr>
        <w:t>Adaptation notes</w:t>
      </w:r>
    </w:p>
    <w:p>
      <w:pPr>
        <w:pStyle w:val="ListBullet"/>
        <w:spacing w:after="80"/>
      </w:pPr>
      <w:r>
        <w:rPr>
          <w:b/>
          <w:sz w:val="21"/>
        </w:rPr>
        <w:t xml:space="preserve">Small organisations: </w:t>
      </w:r>
      <w:r>
        <w:rPr>
          <w:sz w:val="21"/>
        </w:rPr>
        <w:t>A standing 45-minute item on an existing leadership meeting, with real minutes, beats a separate committee that quietly stops meeting.</w:t>
      </w:r>
    </w:p>
    <w:p>
      <w:pPr>
        <w:pStyle w:val="ListBullet"/>
        <w:spacing w:after="80"/>
      </w:pPr>
      <w:r>
        <w:rPr>
          <w:b/>
          <w:sz w:val="21"/>
        </w:rPr>
        <w:t xml:space="preserve">Regulated sectors: </w:t>
      </w:r>
      <w:r>
        <w:rPr>
          <w:sz w:val="21"/>
        </w:rPr>
        <w:t>Align composition and reporting lines with your existing risk committee structure, and check whether any member must be independent by rule.</w:t>
      </w:r>
    </w:p>
    <w:p>
      <w:pPr>
        <w:pStyle w:val="ListBullet"/>
        <w:spacing w:after="80"/>
      </w:pPr>
      <w:r>
        <w:rPr>
          <w:b/>
          <w:sz w:val="21"/>
        </w:rPr>
        <w:t xml:space="preserve">Global organisations: </w:t>
      </w:r>
      <w:r>
        <w:rPr>
          <w:sz w:val="21"/>
        </w:rPr>
        <w:t>Consider regional sub-committees with a group committee for policy and escalation, and state clearly which decisions cannot be taken locally.</w:t>
      </w:r>
    </w:p>
    <w:p/>
    <w:p>
      <w:pPr>
        <w:spacing w:before="200"/>
      </w:pPr>
      <w:r>
        <w:rPr>
          <w:i/>
          <w:color w:val="606060"/>
          <w:sz w:val="17"/>
        </w:rPr>
        <w:t>Not legal advice. This template is a head start, not a substitute for professional judgement. Adapt it to your jurisdiction, sector, and risk appetite, and have qualified counsel review anything material before you rely on it.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