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3F51B5"/>
          <w:sz w:val="40"/>
        </w:rPr>
        <w:t>AI Risk Assessment</w:t>
      </w:r>
    </w:p>
    <w:p>
      <w:pPr>
        <w:spacing w:after="240"/>
      </w:pPr>
      <w:r>
        <w:rPr>
          <w:i/>
          <w:color w:val="606060"/>
          <w:sz w:val="17"/>
        </w:rPr>
        <w:t>Open Data &amp; AI Governance Kit  ·  Licensed CC BY 4.0  ·  https://lsdeva.github.io/governance-kit/</w:t>
      </w:r>
    </w:p>
    <w:p>
      <w:pPr>
        <w:spacing w:after="120"/>
      </w:pPr>
      <w:r>
        <w:rPr>
          <w:b/>
          <w:sz w:val="21"/>
        </w:rPr>
        <w:t xml:space="preserve">Purpose. </w:t>
      </w:r>
      <w:r>
        <w:rPr>
          <w:sz w:val="21"/>
        </w:rPr>
        <w:t>A structured assessment of what could go wrong with a specific AI system, how bad it would be, and what you are doing about it. For high-risk systems it is the core evidence that Art. 9 risk management is operating.</w:t>
      </w:r>
    </w:p>
    <w:p>
      <w:pPr>
        <w:spacing w:after="120"/>
      </w:pPr>
      <w:r>
        <w:rPr>
          <w:b/>
          <w:sz w:val="21"/>
        </w:rPr>
        <w:t xml:space="preserve">When to use it. </w:t>
      </w:r>
      <w:r>
        <w:rPr>
          <w:sz w:val="21"/>
        </w:rPr>
        <w:t>Before development for high-risk systems, before deployment for all systems, and again on material change. Review live high-risk systems at least annually.</w:t>
      </w:r>
    </w:p>
    <w:p>
      <w:pPr>
        <w:spacing w:after="120"/>
      </w:pPr>
      <w:r>
        <w:rPr>
          <w:b/>
          <w:sz w:val="21"/>
        </w:rPr>
        <w:t xml:space="preserve">How to use it. </w:t>
      </w:r>
      <w:r>
        <w:rPr>
          <w:sz w:val="21"/>
        </w:rPr>
        <w:t>Do it with the people who build and use the system, not about them. Assess risk to the people affected first and to the organisation second — that ordering is what the regulation expects, and it also surfaces the risks that later become reputational ones.</w:t>
      </w:r>
    </w:p>
    <w:p/>
    <w:p>
      <w:pPr>
        <w:spacing w:before="200" w:after="80"/>
      </w:pPr>
      <w:r>
        <w:rPr>
          <w:b/>
          <w:color w:val="3F51B5"/>
          <w:sz w:val="24"/>
        </w:rPr>
        <w:t>System under assessment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Field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Value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System ID / name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[AI-00X]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Accountable owner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[name]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Purpose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[what it does and what decisions it drives]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Risk tier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[prohibited / high / limited / minimal]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Affects individuals?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[yes / no — how]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Assessment date / assessor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[date] / [name]</w:t>
            </w:r>
          </w:p>
        </w:tc>
      </w:tr>
    </w:tbl>
    <w:p>
      <w:pPr>
        <w:spacing w:after="80"/>
      </w:pPr>
    </w:p>
    <w:p>
      <w:pPr>
        <w:spacing w:before="200" w:after="80"/>
      </w:pPr>
      <w:r>
        <w:rPr>
          <w:b/>
          <w:color w:val="3F51B5"/>
          <w:sz w:val="24"/>
        </w:rPr>
        <w:t>1. Prohibited practice screen</w:t>
      </w:r>
    </w:p>
    <w:p>
      <w:pPr>
        <w:spacing w:after="120"/>
      </w:pPr>
      <w:r>
        <w:rPr>
          <w:i w:val="0"/>
          <w:sz w:val="21"/>
        </w:rPr>
        <w:t>Answer first. Any "yes" stops the assessment.</w:t>
      </w:r>
    </w:p>
    <w:p>
      <w:pPr>
        <w:spacing w:after="60"/>
        <w:ind w:left="360"/>
      </w:pPr>
      <w:r>
        <w:rPr>
          <w:sz w:val="21"/>
        </w:rPr>
        <w:t>☐  Deploys subliminal, manipulative, or exploitative techniques</w:t>
      </w:r>
    </w:p>
    <w:p>
      <w:pPr>
        <w:spacing w:after="60"/>
        <w:ind w:left="360"/>
      </w:pPr>
      <w:r>
        <w:rPr>
          <w:sz w:val="21"/>
        </w:rPr>
        <w:t>☐  Exploits vulnerability by age, disability, or social/economic situation</w:t>
      </w:r>
    </w:p>
    <w:p>
      <w:pPr>
        <w:spacing w:after="60"/>
        <w:ind w:left="360"/>
      </w:pPr>
      <w:r>
        <w:rPr>
          <w:sz w:val="21"/>
        </w:rPr>
        <w:t>☐  Performs social scoring leading to unjustified detrimental treatment</w:t>
      </w:r>
    </w:p>
    <w:p>
      <w:pPr>
        <w:spacing w:after="60"/>
        <w:ind w:left="360"/>
      </w:pPr>
      <w:r>
        <w:rPr>
          <w:sz w:val="21"/>
        </w:rPr>
        <w:t>☐  Predicts criminal offending based solely on profiling or personality</w:t>
      </w:r>
    </w:p>
    <w:p>
      <w:pPr>
        <w:spacing w:after="60"/>
        <w:ind w:left="360"/>
      </w:pPr>
      <w:r>
        <w:rPr>
          <w:sz w:val="21"/>
        </w:rPr>
        <w:t>☐  Builds facial recognition databases by untargeted scraping</w:t>
      </w:r>
    </w:p>
    <w:p>
      <w:pPr>
        <w:spacing w:after="60"/>
        <w:ind w:left="360"/>
      </w:pPr>
      <w:r>
        <w:rPr>
          <w:sz w:val="21"/>
        </w:rPr>
        <w:t>☐  Infers emotion in the workplace or in education</w:t>
      </w:r>
    </w:p>
    <w:p>
      <w:pPr>
        <w:spacing w:after="60"/>
        <w:ind w:left="360"/>
      </w:pPr>
      <w:r>
        <w:rPr>
          <w:sz w:val="21"/>
        </w:rPr>
        <w:t>☐  Performs biometric categorisation to infer protected characteristics</w:t>
      </w:r>
    </w:p>
    <w:p>
      <w:pPr>
        <w:spacing w:after="60"/>
        <w:ind w:left="360"/>
      </w:pPr>
      <w:r>
        <w:rPr>
          <w:sz w:val="21"/>
        </w:rPr>
        <w:t>☐  Performs real-time remote biometric identification in public spaces</w:t>
      </w:r>
    </w:p>
    <w:p>
      <w:pPr>
        <w:spacing w:after="120"/>
      </w:pPr>
      <w:r>
        <w:rPr>
          <w:i w:val="0"/>
          <w:sz w:val="21"/>
        </w:rPr>
        <w:t>Any box ticked → do not proceed. Escalate immediately.</w:t>
      </w:r>
    </w:p>
    <w:p>
      <w:pPr>
        <w:spacing w:before="200" w:after="80"/>
      </w:pPr>
      <w:r>
        <w:rPr>
          <w:b/>
          <w:color w:val="3F51B5"/>
          <w:sz w:val="24"/>
        </w:rPr>
        <w:t>2. Harms assessment</w:t>
      </w:r>
    </w:p>
    <w:p>
      <w:pPr>
        <w:spacing w:after="120"/>
      </w:pPr>
      <w:r>
        <w:rPr>
          <w:i w:val="0"/>
          <w:sz w:val="21"/>
        </w:rPr>
        <w:t>Assess harm to people first.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08"/>
        <w:gridCol w:w="1608"/>
        <w:gridCol w:w="1608"/>
        <w:gridCol w:w="1608"/>
        <w:gridCol w:w="1608"/>
        <w:gridCol w:w="1608"/>
      </w:tblGrid>
      <w:tr>
        <w:tc>
          <w:tcPr>
            <w:tcW w:type="dxa" w:w="1608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Harm type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Could it occur?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Who is affected?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Severity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Likelihood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Rating</w:t>
            </w:r>
          </w:p>
        </w:tc>
      </w:tr>
      <w:tr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Discrimination / unfair outcome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Loss of opportunity (job, credit, service)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Financial loss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Physical or psychological harm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Privacy intrusion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Loss of autonomy or ability to contest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Misinformation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Exclusion of a group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</w:tbl>
    <w:p>
      <w:pPr>
        <w:spacing w:after="80"/>
      </w:pPr>
    </w:p>
    <w:p>
      <w:pPr>
        <w:spacing w:after="120"/>
      </w:pPr>
      <w:r>
        <w:rPr>
          <w:i w:val="0"/>
          <w:sz w:val="21"/>
        </w:rPr>
        <w:t>Then to the organisation: regulatory, financial, reputational, operational.</w:t>
      </w:r>
    </w:p>
    <w:p>
      <w:pPr>
        <w:spacing w:before="160" w:after="80"/>
      </w:pPr>
      <w:r>
        <w:rPr>
          <w:b/>
          <w:color w:val="3F51B5"/>
          <w:sz w:val="20"/>
        </w:rPr>
        <w:t>Ask who is worst affected, not who is average</w:t>
      </w:r>
    </w:p>
    <w:p>
      <w:pPr>
        <w:spacing w:after="120"/>
      </w:pPr>
      <w:r>
        <w:rPr>
          <w:i/>
          <w:color w:val="606060"/>
          <w:sz w:val="20"/>
        </w:rPr>
        <w:t>Aggregate accuracy hides concentrated harm. A system that is 95% accurate overall can be systematically wrong about one group — and that group is who will be harmed, and who will complain.</w:t>
      </w:r>
    </w:p>
    <w:p>
      <w:pPr>
        <w:spacing w:before="200" w:after="80"/>
      </w:pPr>
      <w:r>
        <w:rPr>
          <w:b/>
          <w:color w:val="3F51B5"/>
          <w:sz w:val="24"/>
        </w:rPr>
        <w:t>3. Technical risk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Area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Question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Assessment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Mitigation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Data quality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Is training data relevant, representative, current?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Bias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Have you tested performance across subgroups?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Accuracy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Does it meet the declared threshold? Where does it fail?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Robustness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How does it behave on edge cases and adversarial input?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Drift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How would you detect degradation?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Explainability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Can you explain a decision to the person affected?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Security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Injection, poisoning, extraction, leakage through output?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Dependencies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What happens if the vendor or model changes?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</w:tbl>
    <w:p>
      <w:pPr>
        <w:spacing w:after="80"/>
      </w:pPr>
    </w:p>
    <w:p>
      <w:pPr>
        <w:spacing w:before="200" w:after="80"/>
      </w:pPr>
      <w:r>
        <w:rPr>
          <w:b/>
          <w:color w:val="3F51B5"/>
          <w:sz w:val="24"/>
        </w:rPr>
        <w:t>4. Human oversight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Question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Answer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Who reviews the output?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[named role]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What information do they see?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Can they realistically override? How?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How long do they have per decision?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How would we know if they were rubber-stamping?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What training have they had?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</w:tbl>
    <w:p>
      <w:pPr>
        <w:spacing w:after="80"/>
      </w:pPr>
    </w:p>
    <w:p>
      <w:pPr>
        <w:spacing w:before="160" w:after="80"/>
      </w:pPr>
      <w:r>
        <w:rPr>
          <w:b/>
          <w:color w:val="3F51B5"/>
          <w:sz w:val="20"/>
        </w:rPr>
        <w:t>The rubber-stamp test</w:t>
      </w:r>
    </w:p>
    <w:p>
      <w:pPr>
        <w:spacing w:after="120"/>
      </w:pPr>
      <w:r>
        <w:rPr>
          <w:i/>
          <w:color w:val="606060"/>
          <w:sz w:val="20"/>
        </w:rPr>
        <w:t>If a reviewer handles hundreds of decisions an hour, or overrides almost never, oversight is nominal. Measure override rates — a rate near zero is a warning sign, not a success metric.</w:t>
      </w:r>
    </w:p>
    <w:p>
      <w:pPr>
        <w:spacing w:before="200" w:after="80"/>
      </w:pPr>
      <w:r>
        <w:rPr>
          <w:b/>
          <w:color w:val="3F51B5"/>
          <w:sz w:val="24"/>
        </w:rPr>
        <w:t>5. Transparency</w:t>
      </w:r>
    </w:p>
    <w:p>
      <w:pPr>
        <w:spacing w:after="60"/>
        <w:ind w:left="360"/>
      </w:pPr>
      <w:r>
        <w:rPr>
          <w:sz w:val="21"/>
        </w:rPr>
        <w:t>☐  People are told they are interacting with, or subject to, AI</w:t>
      </w:r>
    </w:p>
    <w:p>
      <w:pPr>
        <w:spacing w:after="60"/>
        <w:ind w:left="360"/>
      </w:pPr>
      <w:r>
        <w:rPr>
          <w:sz w:val="21"/>
        </w:rPr>
        <w:t>☐  AI-generated content is marked where required</w:t>
      </w:r>
    </w:p>
    <w:p>
      <w:pPr>
        <w:spacing w:after="60"/>
        <w:ind w:left="360"/>
      </w:pPr>
      <w:r>
        <w:rPr>
          <w:sz w:val="21"/>
        </w:rPr>
        <w:t>☐  Affected people can obtain an explanation</w:t>
      </w:r>
    </w:p>
    <w:p>
      <w:pPr>
        <w:spacing w:after="60"/>
        <w:ind w:left="360"/>
      </w:pPr>
      <w:r>
        <w:rPr>
          <w:sz w:val="21"/>
        </w:rPr>
        <w:t>☐  There is a route to contest a decision, and someone staffs it</w:t>
      </w:r>
    </w:p>
    <w:p>
      <w:pPr>
        <w:spacing w:before="200" w:after="80"/>
      </w:pPr>
      <w:r>
        <w:rPr>
          <w:b/>
          <w:color w:val="3F51B5"/>
          <w:sz w:val="24"/>
        </w:rPr>
        <w:t>6. Residual risk and decision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30"/>
        <w:gridCol w:w="1930"/>
        <w:gridCol w:w="1930"/>
        <w:gridCol w:w="1930"/>
        <w:gridCol w:w="1930"/>
      </w:tblGrid>
      <w:tr>
        <w:tc>
          <w:tcPr>
            <w:tcW w:type="dxa" w:w="1930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Residual rating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Justification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Accepted by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Authority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Date</w:t>
            </w:r>
          </w:p>
        </w:tc>
      </w:tr>
      <w:tr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[low/med/high/critical]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[name]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Per Decision Rights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[date]</w:t>
            </w:r>
          </w:p>
        </w:tc>
      </w:tr>
    </w:tbl>
    <w:p>
      <w:pPr>
        <w:spacing w:after="80"/>
      </w:pPr>
    </w:p>
    <w:p>
      <w:pPr>
        <w:spacing w:after="120"/>
      </w:pPr>
      <w:r>
        <w:rPr>
          <w:i w:val="0"/>
          <w:sz w:val="21"/>
        </w:rPr>
        <w:t>Decision: Proceed · Proceed with conditions · Do not proceed</w:t>
      </w:r>
    </w:p>
    <w:p>
      <w:pPr>
        <w:spacing w:after="120"/>
      </w:pPr>
      <w:r>
        <w:rPr>
          <w:i w:val="0"/>
          <w:sz w:val="21"/>
        </w:rPr>
        <w:t>Conditions: [list, with owners and dates]</w:t>
      </w:r>
    </w:p>
    <w:p>
      <w:pPr>
        <w:spacing w:before="200" w:after="80"/>
      </w:pPr>
      <w:r>
        <w:rPr>
          <w:b/>
          <w:color w:val="3F51B5"/>
          <w:sz w:val="24"/>
        </w:rPr>
        <w:t>7. Review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Trigger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Action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Material change of purpose or data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Full reassessment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Incident involving this system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Targeted reassessment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Annually (high-risk)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Full review — see Annually, and on any material change of purpose, data, or model (unless: Every six months where the model is retrained frequently or the vendor ships model changes without notice.)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Vendor model change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Targeted reassessment</w:t>
            </w:r>
          </w:p>
        </w:tc>
      </w:tr>
    </w:tbl>
    <w:p>
      <w:pPr>
        <w:spacing w:after="80"/>
      </w:pPr>
    </w:p>
    <w:p>
      <w:pPr>
        <w:spacing w:before="280" w:after="80"/>
      </w:pPr>
      <w:r>
        <w:rPr>
          <w:b/>
          <w:color w:val="3F51B5"/>
          <w:sz w:val="28"/>
        </w:rPr>
        <w:t>Adaptation notes</w:t>
      </w:r>
    </w:p>
    <w:p>
      <w:pPr>
        <w:pStyle w:val="ListBullet"/>
        <w:spacing w:after="80"/>
      </w:pPr>
      <w:r>
        <w:rPr>
          <w:b/>
          <w:sz w:val="21"/>
        </w:rPr>
        <w:t xml:space="preserve">Small organisations: </w:t>
      </w:r>
      <w:r>
        <w:rPr>
          <w:sz w:val="21"/>
        </w:rPr>
        <w:t>Sections 1, 2, and 4 are the irreducible core: is it allowed, who could it hurt, and who is watching. That fits on two pages.</w:t>
      </w:r>
    </w:p>
    <w:p>
      <w:pPr>
        <w:pStyle w:val="ListBullet"/>
        <w:spacing w:after="80"/>
      </w:pPr>
      <w:r>
        <w:rPr>
          <w:b/>
          <w:sz w:val="21"/>
        </w:rPr>
        <w:t xml:space="preserve">Regulated financial services: </w:t>
      </w:r>
      <w:r>
        <w:rPr>
          <w:sz w:val="21"/>
        </w:rPr>
        <w:t>Align with model risk management: add model validation findings, and treat this as a complement to, not a replacement for, independent validation.</w:t>
      </w:r>
    </w:p>
    <w:p>
      <w:pPr>
        <w:pStyle w:val="ListBullet"/>
        <w:spacing w:after="80"/>
      </w:pPr>
      <w:r>
        <w:rPr>
          <w:b/>
          <w:sz w:val="21"/>
        </w:rPr>
        <w:t xml:space="preserve">Where a DPIA is also required: </w:t>
      </w:r>
      <w:r>
        <w:rPr>
          <w:sz w:val="21"/>
        </w:rPr>
        <w:t>Run them together and cross-reference. Section 2 harms feed the DPIA's risks-to-individuals directly — see Processing Dpia Log.</w:t>
      </w:r>
    </w:p>
    <w:p>
      <w:pPr>
        <w:pStyle w:val="ListBullet"/>
        <w:spacing w:after="80"/>
      </w:pPr>
      <w:r>
        <w:rPr>
          <w:b/>
          <w:sz w:val="21"/>
        </w:rPr>
        <w:t xml:space="preserve">Research and experimentation: </w:t>
      </w:r>
      <w:r>
        <w:rPr>
          <w:sz w:val="21"/>
        </w:rPr>
        <w:t>Apply a shortened version at experiment stage, and the full assessment before anything touches real users or real decisions.</w:t>
      </w:r>
    </w:p>
    <w:p/>
    <w:p>
      <w:pPr>
        <w:spacing w:before="200"/>
      </w:pPr>
      <w:r>
        <w:rPr>
          <w:i/>
          <w:color w:val="606060"/>
          <w:sz w:val="17"/>
        </w:rPr>
        <w:t>Not legal advice. This template is a head start, not a substitute for professional judgement. Adapt it to your jurisdiction, sector, and risk appetite, and have qualified counsel review anything material before you rely on it.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