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3F51B5"/>
          <w:sz w:val="40"/>
        </w:rPr>
        <w:t>AI Governance Framework</w:t>
      </w:r>
    </w:p>
    <w:p>
      <w:pPr>
        <w:spacing w:after="240"/>
      </w:pPr>
      <w:r>
        <w:rPr>
          <w:i/>
          <w:color w:val="606060"/>
          <w:sz w:val="17"/>
        </w:rPr>
        <w:t>Open Data &amp; AI Governance Kit  ·  Licensed CC BY 4.0  ·  https://lsdeva.github.io/governance-kit/</w:t>
      </w:r>
    </w:p>
    <w:p>
      <w:pPr>
        <w:spacing w:after="120"/>
      </w:pPr>
      <w:r>
        <w:rPr>
          <w:b/>
          <w:sz w:val="21"/>
        </w:rPr>
        <w:t xml:space="preserve">Purpose. </w:t>
      </w:r>
      <w:r>
        <w:rPr>
          <w:sz w:val="21"/>
        </w:rPr>
        <w:t>A single reference that defines how your organisation governs AI across its lifecycle — who is accountable, what principles apply, how risk is tiered and controlled, and how it connects to data governance and the EU AI Act. It is the document you hand to a board, a regulator, or a new hire to explain "how we do AI here".</w:t>
      </w:r>
    </w:p>
    <w:p>
      <w:pPr>
        <w:spacing w:after="120"/>
      </w:pPr>
      <w:r>
        <w:rPr>
          <w:b/>
          <w:sz w:val="21"/>
        </w:rPr>
        <w:t xml:space="preserve">When to use it. </w:t>
      </w:r>
      <w:r>
        <w:rPr>
          <w:sz w:val="21"/>
        </w:rPr>
        <w:t>Adopt it once, then review at least annually and whenever regulation, your risk appetite, or your AI footprint changes materially.</w:t>
      </w:r>
    </w:p>
    <w:p>
      <w:pPr>
        <w:spacing w:after="120"/>
      </w:pPr>
      <w:r>
        <w:rPr>
          <w:b/>
          <w:sz w:val="21"/>
        </w:rPr>
        <w:t xml:space="preserve">How to use it. </w:t>
      </w:r>
      <w:r>
        <w:rPr>
          <w:sz w:val="21"/>
        </w:rPr>
        <w:t>Fill the bracketed placeholders, delete what does not apply, and ratify it through your governance committee. Keep it short enough that people actually read it — push detail down into the policies and standards it references.</w:t>
      </w:r>
    </w:p>
    <w:p/>
    <w:p>
      <w:pPr>
        <w:spacing w:before="200" w:after="80"/>
      </w:pPr>
      <w:r>
        <w:rPr>
          <w:b/>
          <w:color w:val="3F51B5"/>
          <w:sz w:val="24"/>
        </w:rPr>
        <w:t>1. Purpose &amp; scope</w:t>
      </w:r>
    </w:p>
    <w:p>
      <w:pPr>
        <w:spacing w:after="120"/>
      </w:pPr>
      <w:r>
        <w:rPr>
          <w:i w:val="0"/>
          <w:sz w:val="21"/>
        </w:rPr>
        <w:t>This framework sets out how [Organisation] governs the design, procurement, development, deployment, and retirement of AI systems. It applies to all AI systems — built, bought, or embedded — used in or on behalf of the organisation, including general-purpose AI and AI features inside third-party products.</w:t>
      </w:r>
    </w:p>
    <w:p>
      <w:pPr>
        <w:spacing w:before="200" w:after="80"/>
      </w:pPr>
      <w:r>
        <w:rPr>
          <w:b/>
          <w:color w:val="3F51B5"/>
          <w:sz w:val="24"/>
        </w:rPr>
        <w:t>2. Principles</w:t>
      </w:r>
    </w:p>
    <w:p>
      <w:pPr>
        <w:pStyle w:val="ListBullet"/>
        <w:spacing w:after="60"/>
      </w:pPr>
      <w:r>
        <w:rPr>
          <w:sz w:val="21"/>
        </w:rPr>
        <w:t>Accountability — a named human is accountable for every AI system.</w:t>
      </w:r>
    </w:p>
    <w:p>
      <w:pPr>
        <w:pStyle w:val="ListBullet"/>
        <w:spacing w:after="60"/>
      </w:pPr>
      <w:r>
        <w:rPr>
          <w:sz w:val="21"/>
        </w:rPr>
        <w:t>Lawfulness &amp; fairness — systems comply with applicable law and do not produce unjustified discriminatory outcomes.</w:t>
      </w:r>
    </w:p>
    <w:p>
      <w:pPr>
        <w:pStyle w:val="ListBullet"/>
        <w:spacing w:after="60"/>
      </w:pPr>
      <w:r>
        <w:rPr>
          <w:sz w:val="21"/>
        </w:rPr>
        <w:t>Transparency — people are told when they interact with AI, and decisions can be explained proportionate to their impact.</w:t>
      </w:r>
    </w:p>
    <w:p>
      <w:pPr>
        <w:pStyle w:val="ListBullet"/>
        <w:spacing w:after="60"/>
      </w:pPr>
      <w:r>
        <w:rPr>
          <w:sz w:val="21"/>
        </w:rPr>
        <w:t>Human oversight — meaningful human control exists over consequential decisions.</w:t>
      </w:r>
    </w:p>
    <w:p>
      <w:pPr>
        <w:pStyle w:val="ListBullet"/>
        <w:spacing w:after="60"/>
      </w:pPr>
      <w:r>
        <w:rPr>
          <w:sz w:val="21"/>
        </w:rPr>
        <w:t>Safety, security &amp; robustness — systems are tested, monitored, and secured across their lifecycle.</w:t>
      </w:r>
    </w:p>
    <w:p>
      <w:pPr>
        <w:pStyle w:val="ListBullet"/>
        <w:spacing w:after="60"/>
      </w:pPr>
      <w:r>
        <w:rPr>
          <w:sz w:val="21"/>
        </w:rPr>
        <w:t>Privacy &amp; data governance — data used by AI is governed, minimised, and lawful (see Data Governance Framework).</w:t>
      </w:r>
    </w:p>
    <w:p>
      <w:pPr>
        <w:pStyle w:val="ListBullet"/>
        <w:spacing w:after="60"/>
      </w:pPr>
      <w:r>
        <w:rPr>
          <w:sz w:val="21"/>
        </w:rPr>
        <w:t>Proportionality — controls scale with risk; low-risk innovation is not over-burdened.</w:t>
      </w:r>
    </w:p>
    <w:p>
      <w:pPr>
        <w:spacing w:before="200" w:after="80"/>
      </w:pPr>
      <w:r>
        <w:rPr>
          <w:b/>
          <w:color w:val="3F51B5"/>
          <w:sz w:val="24"/>
        </w:rPr>
        <w:t>3. Governance structure</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Body / role</w:t>
            </w:r>
          </w:p>
        </w:tc>
        <w:tc>
          <w:tcPr>
            <w:tcW w:type="dxa" w:w="4824"/>
          </w:tcPr>
          <w:p>
            <w:pPr>
              <w:spacing w:after="40"/>
            </w:pPr>
            <w:r/>
            <w:r>
              <w:rPr>
                <w:b/>
                <w:sz w:val="17"/>
              </w:rPr>
              <w:t>Mandate</w:t>
            </w:r>
          </w:p>
        </w:tc>
      </w:tr>
      <w:tr>
        <w:tc>
          <w:tcPr>
            <w:tcW w:type="dxa" w:w="4824"/>
          </w:tcPr>
          <w:p>
            <w:pPr>
              <w:spacing w:after="40"/>
            </w:pPr>
            <w:r/>
            <w:r>
              <w:rPr>
                <w:sz w:val="17"/>
              </w:rPr>
              <w:t>Board / Audit &amp; Risk Committee</w:t>
            </w:r>
          </w:p>
        </w:tc>
        <w:tc>
          <w:tcPr>
            <w:tcW w:type="dxa" w:w="4824"/>
          </w:tcPr>
          <w:p>
            <w:pPr>
              <w:spacing w:after="40"/>
            </w:pPr>
            <w:r/>
            <w:r>
              <w:rPr>
                <w:sz w:val="17"/>
              </w:rPr>
              <w:t>Sets risk appetite; receives assurance.</w:t>
            </w:r>
          </w:p>
        </w:tc>
      </w:tr>
      <w:tr>
        <w:tc>
          <w:tcPr>
            <w:tcW w:type="dxa" w:w="4824"/>
          </w:tcPr>
          <w:p>
            <w:pPr>
              <w:spacing w:after="40"/>
            </w:pPr>
            <w:r/>
            <w:r>
              <w:rPr>
                <w:sz w:val="17"/>
              </w:rPr>
              <w:t>AI / Data Governance Committee</w:t>
            </w:r>
          </w:p>
        </w:tc>
        <w:tc>
          <w:tcPr>
            <w:tcW w:type="dxa" w:w="4824"/>
          </w:tcPr>
          <w:p>
            <w:pPr>
              <w:spacing w:after="40"/>
            </w:pPr>
            <w:r/>
            <w:r>
              <w:rPr>
                <w:sz w:val="17"/>
              </w:rPr>
              <w:t>Owns this framework; approves high-risk use; resolves escalations. See Committee Charter.</w:t>
            </w:r>
          </w:p>
        </w:tc>
      </w:tr>
      <w:tr>
        <w:tc>
          <w:tcPr>
            <w:tcW w:type="dxa" w:w="4824"/>
          </w:tcPr>
          <w:p>
            <w:pPr>
              <w:spacing w:after="40"/>
            </w:pPr>
            <w:r/>
            <w:r>
              <w:rPr>
                <w:sz w:val="17"/>
              </w:rPr>
              <w:t>AI accountable owner (per system)</w:t>
            </w:r>
          </w:p>
        </w:tc>
        <w:tc>
          <w:tcPr>
            <w:tcW w:type="dxa" w:w="4824"/>
          </w:tcPr>
          <w:p>
            <w:pPr>
              <w:spacing w:after="40"/>
            </w:pPr>
            <w:r/>
            <w:r>
              <w:rPr>
                <w:sz w:val="17"/>
              </w:rPr>
              <w:t>Accountable for a specific system's compliance and outcomes.</w:t>
            </w:r>
          </w:p>
        </w:tc>
      </w:tr>
      <w:tr>
        <w:tc>
          <w:tcPr>
            <w:tcW w:type="dxa" w:w="4824"/>
          </w:tcPr>
          <w:p>
            <w:pPr>
              <w:spacing w:after="40"/>
            </w:pPr>
            <w:r/>
            <w:r>
              <w:rPr>
                <w:sz w:val="17"/>
              </w:rPr>
              <w:t>Model / product teams</w:t>
            </w:r>
          </w:p>
        </w:tc>
        <w:tc>
          <w:tcPr>
            <w:tcW w:type="dxa" w:w="4824"/>
          </w:tcPr>
          <w:p>
            <w:pPr>
              <w:spacing w:after="40"/>
            </w:pPr>
            <w:r/>
            <w:r>
              <w:rPr>
                <w:sz w:val="17"/>
              </w:rPr>
              <w:t>Build and operate within standards.</w:t>
            </w:r>
          </w:p>
        </w:tc>
      </w:tr>
      <w:tr>
        <w:tc>
          <w:tcPr>
            <w:tcW w:type="dxa" w:w="4824"/>
          </w:tcPr>
          <w:p>
            <w:pPr>
              <w:spacing w:after="40"/>
            </w:pPr>
            <w:r/>
            <w:r>
              <w:rPr>
                <w:sz w:val="17"/>
              </w:rPr>
              <w:t>Second line (Risk / Compliance / Legal / DPO)</w:t>
            </w:r>
          </w:p>
        </w:tc>
        <w:tc>
          <w:tcPr>
            <w:tcW w:type="dxa" w:w="4824"/>
          </w:tcPr>
          <w:p>
            <w:pPr>
              <w:spacing w:after="40"/>
            </w:pPr>
            <w:r/>
            <w:r>
              <w:rPr>
                <w:sz w:val="17"/>
              </w:rPr>
              <w:t>Independent challenge and advice.</w:t>
            </w:r>
          </w:p>
        </w:tc>
      </w:tr>
      <w:tr>
        <w:tc>
          <w:tcPr>
            <w:tcW w:type="dxa" w:w="4824"/>
          </w:tcPr>
          <w:p>
            <w:pPr>
              <w:spacing w:after="40"/>
            </w:pPr>
            <w:r/>
            <w:r>
              <w:rPr>
                <w:sz w:val="17"/>
              </w:rPr>
              <w:t>Third line (Internal Audit)</w:t>
            </w:r>
          </w:p>
        </w:tc>
        <w:tc>
          <w:tcPr>
            <w:tcW w:type="dxa" w:w="4824"/>
          </w:tcPr>
          <w:p>
            <w:pPr>
              <w:spacing w:after="40"/>
            </w:pPr>
            <w:r/>
            <w:r>
              <w:rPr>
                <w:sz w:val="17"/>
              </w:rPr>
              <w:t>Independent assurance.</w:t>
            </w:r>
          </w:p>
        </w:tc>
      </w:tr>
    </w:tbl>
    <w:p>
      <w:pPr>
        <w:spacing w:after="80"/>
      </w:pPr>
    </w:p>
    <w:p>
      <w:pPr>
        <w:spacing w:after="120"/>
      </w:pPr>
      <w:r>
        <w:rPr>
          <w:i w:val="0"/>
          <w:sz w:val="21"/>
        </w:rPr>
        <w:t>Detailed responsibilities are in Raci and Roles Responsibilities.</w:t>
      </w:r>
    </w:p>
    <w:p>
      <w:pPr>
        <w:spacing w:before="200" w:after="80"/>
      </w:pPr>
      <w:r>
        <w:rPr>
          <w:b/>
          <w:color w:val="3F51B5"/>
          <w:sz w:val="24"/>
        </w:rPr>
        <w:t>4. Risk tiering</w:t>
      </w:r>
    </w:p>
    <w:p>
      <w:pPr>
        <w:spacing w:after="120"/>
      </w:pPr>
      <w:r>
        <w:rPr>
          <w:i w:val="0"/>
          <w:sz w:val="21"/>
        </w:rPr>
        <w:t>Every AI system is classified before deployment. Tiers align with the EU AI Act — see Eu Ai Act Readiness Checklist.</w:t>
      </w:r>
    </w:p>
    <w:tbl>
      <w:tblPr>
        <w:tblStyle w:val="TableGrid"/>
        <w:tblW w:type="auto" w:w="0"/>
        <w:jc w:val="center"/>
        <w:tblLook w:firstColumn="1" w:firstRow="1" w:lastColumn="0" w:lastRow="0" w:noHBand="0" w:noVBand="1" w:val="04A0"/>
      </w:tblPr>
      <w:tblGrid>
        <w:gridCol w:w="3216"/>
        <w:gridCol w:w="3216"/>
        <w:gridCol w:w="3216"/>
      </w:tblGrid>
      <w:tr>
        <w:tc>
          <w:tcPr>
            <w:tcW w:type="dxa" w:w="3216"/>
          </w:tcPr>
          <w:p>
            <w:pPr>
              <w:spacing w:after="40"/>
            </w:pPr>
            <w:r/>
            <w:r>
              <w:rPr>
                <w:b/>
                <w:sz w:val="17"/>
              </w:rPr>
              <w:t>Tier</w:t>
            </w:r>
          </w:p>
        </w:tc>
        <w:tc>
          <w:tcPr>
            <w:tcW w:type="dxa" w:w="3216"/>
          </w:tcPr>
          <w:p>
            <w:pPr>
              <w:spacing w:after="40"/>
            </w:pPr>
            <w:r/>
            <w:r>
              <w:rPr>
                <w:b/>
                <w:sz w:val="17"/>
              </w:rPr>
              <w:t>Definition</w:t>
            </w:r>
          </w:p>
        </w:tc>
        <w:tc>
          <w:tcPr>
            <w:tcW w:type="dxa" w:w="3216"/>
          </w:tcPr>
          <w:p>
            <w:pPr>
              <w:spacing w:after="40"/>
            </w:pPr>
            <w:r/>
            <w:r>
              <w:rPr>
                <w:b/>
                <w:sz w:val="17"/>
              </w:rPr>
              <w:t>Governance response</w:t>
            </w:r>
          </w:p>
        </w:tc>
      </w:tr>
      <w:tr>
        <w:tc>
          <w:tcPr>
            <w:tcW w:type="dxa" w:w="3216"/>
          </w:tcPr>
          <w:p>
            <w:pPr>
              <w:spacing w:after="40"/>
            </w:pPr>
            <w:r/>
            <w:r>
              <w:rPr>
                <w:sz w:val="17"/>
              </w:rPr>
              <w:t>Prohibited</w:t>
            </w:r>
          </w:p>
        </w:tc>
        <w:tc>
          <w:tcPr>
            <w:tcW w:type="dxa" w:w="3216"/>
          </w:tcPr>
          <w:p>
            <w:pPr>
              <w:spacing w:after="40"/>
            </w:pPr>
            <w:r/>
            <w:r>
              <w:rPr>
                <w:sz w:val="17"/>
              </w:rPr>
              <w:t>Practices banned under Art. 5</w:t>
            </w:r>
          </w:p>
        </w:tc>
        <w:tc>
          <w:tcPr>
            <w:tcW w:type="dxa" w:w="3216"/>
          </w:tcPr>
          <w:p>
            <w:pPr>
              <w:spacing w:after="40"/>
            </w:pPr>
            <w:r/>
            <w:r>
              <w:rPr>
                <w:sz w:val="17"/>
              </w:rPr>
              <w:t>Do not build or deploy. Screen at intake.</w:t>
            </w:r>
          </w:p>
        </w:tc>
      </w:tr>
      <w:tr>
        <w:tc>
          <w:tcPr>
            <w:tcW w:type="dxa" w:w="3216"/>
          </w:tcPr>
          <w:p>
            <w:pPr>
              <w:spacing w:after="40"/>
            </w:pPr>
            <w:r/>
            <w:r>
              <w:rPr>
                <w:sz w:val="17"/>
              </w:rPr>
              <w:t>High-risk</w:t>
            </w:r>
          </w:p>
        </w:tc>
        <w:tc>
          <w:tcPr>
            <w:tcW w:type="dxa" w:w="3216"/>
          </w:tcPr>
          <w:p>
            <w:pPr>
              <w:spacing w:after="40"/>
            </w:pPr>
            <w:r/>
            <w:r>
              <w:rPr>
                <w:sz w:val="17"/>
              </w:rPr>
              <w:t>Annex I / III systems</w:t>
            </w:r>
          </w:p>
        </w:tc>
        <w:tc>
          <w:tcPr>
            <w:tcW w:type="dxa" w:w="3216"/>
          </w:tcPr>
          <w:p>
            <w:pPr>
              <w:spacing w:after="40"/>
            </w:pPr>
            <w:r/>
            <w:r>
              <w:rPr>
                <w:sz w:val="17"/>
              </w:rPr>
              <w:t>Full controls: risk management, data governance, technical documentation, human oversight, conformity assessment, post-market monitoring.</w:t>
            </w:r>
          </w:p>
        </w:tc>
      </w:tr>
      <w:tr>
        <w:tc>
          <w:tcPr>
            <w:tcW w:type="dxa" w:w="3216"/>
          </w:tcPr>
          <w:p>
            <w:pPr>
              <w:spacing w:after="40"/>
            </w:pPr>
            <w:r/>
            <w:r>
              <w:rPr>
                <w:sz w:val="17"/>
              </w:rPr>
              <w:t>Limited</w:t>
            </w:r>
          </w:p>
        </w:tc>
        <w:tc>
          <w:tcPr>
            <w:tcW w:type="dxa" w:w="3216"/>
          </w:tcPr>
          <w:p>
            <w:pPr>
              <w:spacing w:after="40"/>
            </w:pPr>
            <w:r/>
            <w:r>
              <w:rPr>
                <w:sz w:val="17"/>
              </w:rPr>
              <w:t>Transparency-triggering (chatbots, synthetic media)</w:t>
            </w:r>
          </w:p>
        </w:tc>
        <w:tc>
          <w:tcPr>
            <w:tcW w:type="dxa" w:w="3216"/>
          </w:tcPr>
          <w:p>
            <w:pPr>
              <w:spacing w:after="40"/>
            </w:pPr>
            <w:r/>
            <w:r>
              <w:rPr>
                <w:sz w:val="17"/>
              </w:rPr>
              <w:t>Disclosure and labelling controls.</w:t>
            </w:r>
          </w:p>
        </w:tc>
      </w:tr>
      <w:tr>
        <w:tc>
          <w:tcPr>
            <w:tcW w:type="dxa" w:w="3216"/>
          </w:tcPr>
          <w:p>
            <w:pPr>
              <w:spacing w:after="40"/>
            </w:pPr>
            <w:r/>
            <w:r>
              <w:rPr>
                <w:sz w:val="17"/>
              </w:rPr>
              <w:t>Minimal</w:t>
            </w:r>
          </w:p>
        </w:tc>
        <w:tc>
          <w:tcPr>
            <w:tcW w:type="dxa" w:w="3216"/>
          </w:tcPr>
          <w:p>
            <w:pPr>
              <w:spacing w:after="40"/>
            </w:pPr>
            <w:r/>
            <w:r>
              <w:rPr>
                <w:sz w:val="17"/>
              </w:rPr>
              <w:t>Everything else</w:t>
            </w:r>
          </w:p>
        </w:tc>
        <w:tc>
          <w:tcPr>
            <w:tcW w:type="dxa" w:w="3216"/>
          </w:tcPr>
          <w:p>
            <w:pPr>
              <w:spacing w:after="40"/>
            </w:pPr>
            <w:r/>
            <w:r>
              <w:rPr>
                <w:sz w:val="17"/>
              </w:rPr>
              <w:t>Baseline standards; light-touch.</w:t>
            </w:r>
          </w:p>
        </w:tc>
      </w:tr>
    </w:tbl>
    <w:p>
      <w:pPr>
        <w:spacing w:after="80"/>
      </w:pPr>
    </w:p>
    <w:p>
      <w:pPr>
        <w:spacing w:after="120"/>
      </w:pPr>
      <w:r>
        <w:rPr>
          <w:i w:val="0"/>
          <w:sz w:val="21"/>
        </w:rPr>
        <w:t>Classification is a recorded decision with a date and an owner, held in the Ai System Inventory. Re-classify on material change of purpose.</w:t>
      </w:r>
    </w:p>
    <w:p>
      <w:pPr>
        <w:spacing w:before="200" w:after="80"/>
      </w:pPr>
      <w:r>
        <w:rPr>
          <w:b/>
          <w:color w:val="3F51B5"/>
          <w:sz w:val="24"/>
        </w:rPr>
        <w:t>5. Lifecycle controls</w:t>
      </w:r>
    </w:p>
    <w:tbl>
      <w:tblPr>
        <w:tblStyle w:val="TableGrid"/>
        <w:tblW w:type="auto" w:w="0"/>
        <w:jc w:val="center"/>
        <w:tblLook w:firstColumn="1" w:firstRow="1" w:lastColumn="0" w:lastRow="0" w:noHBand="0" w:noVBand="1" w:val="04A0"/>
      </w:tblPr>
      <w:tblGrid>
        <w:gridCol w:w="4824"/>
        <w:gridCol w:w="4824"/>
      </w:tblGrid>
      <w:tr>
        <w:tc>
          <w:tcPr>
            <w:tcW w:type="dxa" w:w="4824"/>
          </w:tcPr>
          <w:p>
            <w:pPr>
              <w:spacing w:after="40"/>
            </w:pPr>
            <w:r/>
            <w:r>
              <w:rPr>
                <w:b/>
                <w:sz w:val="17"/>
              </w:rPr>
              <w:t>Stage</w:t>
            </w:r>
          </w:p>
        </w:tc>
        <w:tc>
          <w:tcPr>
            <w:tcW w:type="dxa" w:w="4824"/>
          </w:tcPr>
          <w:p>
            <w:pPr>
              <w:spacing w:after="40"/>
            </w:pPr>
            <w:r/>
            <w:r>
              <w:rPr>
                <w:b/>
                <w:sz w:val="17"/>
              </w:rPr>
              <w:t>Required before proceeding</w:t>
            </w:r>
          </w:p>
        </w:tc>
      </w:tr>
      <w:tr>
        <w:tc>
          <w:tcPr>
            <w:tcW w:type="dxa" w:w="4824"/>
          </w:tcPr>
          <w:p>
            <w:pPr>
              <w:spacing w:after="40"/>
            </w:pPr>
            <w:r/>
            <w:r>
              <w:rPr>
                <w:sz w:val="17"/>
              </w:rPr>
              <w:t>Ideation</w:t>
            </w:r>
          </w:p>
        </w:tc>
        <w:tc>
          <w:tcPr>
            <w:tcW w:type="dxa" w:w="4824"/>
          </w:tcPr>
          <w:p>
            <w:pPr>
              <w:spacing w:after="40"/>
            </w:pPr>
            <w:r/>
            <w:r>
              <w:rPr>
                <w:sz w:val="17"/>
              </w:rPr>
              <w:t>Screened against prohibited practices; risk tier assigned; entered in the inventory.</w:t>
            </w:r>
          </w:p>
        </w:tc>
      </w:tr>
      <w:tr>
        <w:tc>
          <w:tcPr>
            <w:tcW w:type="dxa" w:w="4824"/>
          </w:tcPr>
          <w:p>
            <w:pPr>
              <w:spacing w:after="40"/>
            </w:pPr>
            <w:r/>
            <w:r>
              <w:rPr>
                <w:sz w:val="17"/>
              </w:rPr>
              <w:t>Development</w:t>
            </w:r>
          </w:p>
        </w:tc>
        <w:tc>
          <w:tcPr>
            <w:tcW w:type="dxa" w:w="4824"/>
          </w:tcPr>
          <w:p>
            <w:pPr>
              <w:spacing w:after="40"/>
            </w:pPr>
            <w:r/>
            <w:r>
              <w:rPr>
                <w:sz w:val="17"/>
              </w:rPr>
              <w:t>Data sources lawful and registered; Ai Risk Assessment started; evaluation plan agreed.</w:t>
            </w:r>
          </w:p>
        </w:tc>
      </w:tr>
      <w:tr>
        <w:tc>
          <w:tcPr>
            <w:tcW w:type="dxa" w:w="4824"/>
          </w:tcPr>
          <w:p>
            <w:pPr>
              <w:spacing w:after="40"/>
            </w:pPr>
            <w:r/>
            <w:r>
              <w:rPr>
                <w:sz w:val="17"/>
              </w:rPr>
              <w:t>Pre-deployment</w:t>
            </w:r>
          </w:p>
        </w:tc>
        <w:tc>
          <w:tcPr>
            <w:tcW w:type="dxa" w:w="4824"/>
          </w:tcPr>
          <w:p>
            <w:pPr>
              <w:spacing w:after="40"/>
            </w:pPr>
            <w:r/>
            <w:r>
              <w:rPr>
                <w:sz w:val="17"/>
              </w:rPr>
              <w:t>Assessment complete; Model Card written; human oversight designed; accountable owner signs off.</w:t>
            </w:r>
          </w:p>
        </w:tc>
      </w:tr>
      <w:tr>
        <w:tc>
          <w:tcPr>
            <w:tcW w:type="dxa" w:w="4824"/>
          </w:tcPr>
          <w:p>
            <w:pPr>
              <w:spacing w:after="40"/>
            </w:pPr>
            <w:r/>
            <w:r>
              <w:rPr>
                <w:sz w:val="17"/>
              </w:rPr>
              <w:t>Operation</w:t>
            </w:r>
          </w:p>
        </w:tc>
        <w:tc>
          <w:tcPr>
            <w:tcW w:type="dxa" w:w="4824"/>
          </w:tcPr>
          <w:p>
            <w:pPr>
              <w:spacing w:after="40"/>
            </w:pPr>
            <w:r/>
            <w:r>
              <w:rPr>
                <w:sz w:val="17"/>
              </w:rPr>
              <w:t>Monitoring live; logs retained; incidents routed to Incident Log.</w:t>
            </w:r>
          </w:p>
        </w:tc>
      </w:tr>
      <w:tr>
        <w:tc>
          <w:tcPr>
            <w:tcW w:type="dxa" w:w="4824"/>
          </w:tcPr>
          <w:p>
            <w:pPr>
              <w:spacing w:after="40"/>
            </w:pPr>
            <w:r/>
            <w:r>
              <w:rPr>
                <w:sz w:val="17"/>
              </w:rPr>
              <w:t>Retirement</w:t>
            </w:r>
          </w:p>
        </w:tc>
        <w:tc>
          <w:tcPr>
            <w:tcW w:type="dxa" w:w="4824"/>
          </w:tcPr>
          <w:p>
            <w:pPr>
              <w:spacing w:after="40"/>
            </w:pPr>
            <w:r/>
            <w:r>
              <w:rPr>
                <w:sz w:val="17"/>
              </w:rPr>
              <w:t>Decommissioned cleanly; records retained per schedule; inventory updated.</w:t>
            </w:r>
          </w:p>
        </w:tc>
      </w:tr>
    </w:tbl>
    <w:p>
      <w:pPr>
        <w:spacing w:after="80"/>
      </w:pPr>
    </w:p>
    <w:p>
      <w:pPr>
        <w:spacing w:before="200" w:after="80"/>
      </w:pPr>
      <w:r>
        <w:rPr>
          <w:b/>
          <w:color w:val="3F51B5"/>
          <w:sz w:val="24"/>
        </w:rPr>
        <w:t>6. Policies &amp; standards under this framework</w:t>
      </w:r>
    </w:p>
    <w:p>
      <w:pPr>
        <w:pStyle w:val="ListBullet"/>
        <w:spacing w:after="60"/>
      </w:pPr>
      <w:r>
        <w:rPr>
          <w:sz w:val="21"/>
        </w:rPr>
        <w:t>Acceptable Ai Use Policy</w:t>
      </w:r>
    </w:p>
    <w:p>
      <w:pPr>
        <w:pStyle w:val="ListBullet"/>
        <w:spacing w:after="60"/>
      </w:pPr>
      <w:r>
        <w:rPr>
          <w:sz w:val="21"/>
        </w:rPr>
        <w:t>Ai Development Standard</w:t>
      </w:r>
    </w:p>
    <w:p>
      <w:pPr>
        <w:pStyle w:val="ListBullet"/>
        <w:spacing w:after="60"/>
      </w:pPr>
      <w:r>
        <w:rPr>
          <w:sz w:val="21"/>
        </w:rPr>
        <w:t>Third Party Ai Risk Policy</w:t>
      </w:r>
    </w:p>
    <w:p>
      <w:pPr>
        <w:pStyle w:val="ListBullet"/>
        <w:spacing w:after="60"/>
      </w:pPr>
      <w:r>
        <w:rPr>
          <w:sz w:val="21"/>
        </w:rPr>
        <w:t>Ai Risk Assessment and Model Card</w:t>
      </w:r>
    </w:p>
    <w:p>
      <w:pPr>
        <w:spacing w:before="200" w:after="80"/>
      </w:pPr>
      <w:r>
        <w:rPr>
          <w:b/>
          <w:color w:val="3F51B5"/>
          <w:sz w:val="24"/>
        </w:rPr>
        <w:t>7. Reporting &amp; assurance</w:t>
      </w:r>
    </w:p>
    <w:p>
      <w:pPr>
        <w:spacing w:after="120"/>
      </w:pPr>
      <w:r>
        <w:rPr>
          <w:i w:val="0"/>
          <w:sz w:val="21"/>
        </w:rPr>
        <w:t>The committee reports to the board at least Quarterly (unless: Move to monthly while any high-risk system is unassessed, or after a serious incident, until the position is stable again.) using Board Pack and tracks health via Kpi Dashboard. Internal Audit provides independent assurance on a risk-based cycle.</w:t>
      </w:r>
    </w:p>
    <w:p>
      <w:pPr>
        <w:spacing w:before="200" w:after="80"/>
      </w:pPr>
      <w:r>
        <w:rPr>
          <w:b/>
          <w:color w:val="3F51B5"/>
          <w:sz w:val="24"/>
        </w:rPr>
        <w:t>8. Review</w:t>
      </w:r>
    </w:p>
    <w:p>
      <w:pPr>
        <w:spacing w:after="120"/>
      </w:pPr>
      <w:r>
        <w:rPr>
          <w:i w:val="0"/>
          <w:sz w:val="21"/>
        </w:rPr>
        <w:t>Owner: [role]. Cadence: Annually, and on any material change to your AI estate or the law (unless: Every six months for the Acceptable AI Use Policy while the tool landscape is moving as fast as it currently is.).</w:t>
      </w:r>
    </w:p>
    <w:tbl>
      <w:tblPr>
        <w:tblStyle w:val="TableGrid"/>
        <w:tblW w:type="auto" w:w="0"/>
        <w:jc w:val="center"/>
        <w:tblLook w:firstColumn="1" w:firstRow="1" w:lastColumn="0" w:lastRow="0" w:noHBand="0" w:noVBand="1" w:val="04A0"/>
      </w:tblPr>
      <w:tblGrid>
        <w:gridCol w:w="2412"/>
        <w:gridCol w:w="2412"/>
        <w:gridCol w:w="2412"/>
        <w:gridCol w:w="2412"/>
      </w:tblGrid>
      <w:tr>
        <w:tc>
          <w:tcPr>
            <w:tcW w:type="dxa" w:w="2412"/>
          </w:tcPr>
          <w:p>
            <w:pPr>
              <w:spacing w:after="40"/>
            </w:pPr>
            <w:r/>
            <w:r>
              <w:rPr>
                <w:b/>
                <w:sz w:val="17"/>
              </w:rPr>
              <w:t>Version</w:t>
            </w:r>
          </w:p>
        </w:tc>
        <w:tc>
          <w:tcPr>
            <w:tcW w:type="dxa" w:w="2412"/>
          </w:tcPr>
          <w:p>
            <w:pPr>
              <w:spacing w:after="40"/>
            </w:pPr>
            <w:r/>
            <w:r>
              <w:rPr>
                <w:b/>
                <w:sz w:val="17"/>
              </w:rPr>
              <w:t>Date</w:t>
            </w:r>
          </w:p>
        </w:tc>
        <w:tc>
          <w:tcPr>
            <w:tcW w:type="dxa" w:w="2412"/>
          </w:tcPr>
          <w:p>
            <w:pPr>
              <w:spacing w:after="40"/>
            </w:pPr>
            <w:r/>
            <w:r>
              <w:rPr>
                <w:b/>
                <w:sz w:val="17"/>
              </w:rPr>
              <w:t>Author</w:t>
            </w:r>
          </w:p>
        </w:tc>
        <w:tc>
          <w:tcPr>
            <w:tcW w:type="dxa" w:w="2412"/>
          </w:tcPr>
          <w:p>
            <w:pPr>
              <w:spacing w:after="40"/>
            </w:pPr>
            <w:r/>
            <w:r>
              <w:rPr>
                <w:b/>
                <w:sz w:val="17"/>
              </w:rPr>
              <w:t>Approved by</w:t>
            </w:r>
          </w:p>
        </w:tc>
      </w:tr>
      <w:tr>
        <w:tc>
          <w:tcPr>
            <w:tcW w:type="dxa" w:w="2412"/>
          </w:tcPr>
          <w:p>
            <w:pPr>
              <w:spacing w:after="40"/>
            </w:pPr>
            <w:r/>
            <w:r>
              <w:rPr>
                <w:sz w:val="17"/>
              </w:rPr>
              <w:t>0.1</w:t>
            </w:r>
          </w:p>
        </w:tc>
        <w:tc>
          <w:tcPr>
            <w:tcW w:type="dxa" w:w="2412"/>
          </w:tcPr>
          <w:p>
            <w:pPr>
              <w:spacing w:after="40"/>
            </w:pPr>
            <w:r/>
            <w:r>
              <w:rPr>
                <w:sz w:val="17"/>
              </w:rPr>
              <w:t>[date]</w:t>
            </w:r>
          </w:p>
        </w:tc>
        <w:tc>
          <w:tcPr>
            <w:tcW w:type="dxa" w:w="2412"/>
          </w:tcPr>
          <w:p>
            <w:pPr>
              <w:spacing w:after="40"/>
            </w:pPr>
            <w:r/>
            <w:r>
              <w:rPr>
                <w:sz w:val="17"/>
              </w:rPr>
              <w:t>[name]</w:t>
            </w:r>
          </w:p>
        </w:tc>
        <w:tc>
          <w:tcPr>
            <w:tcW w:type="dxa" w:w="2412"/>
          </w:tcPr>
          <w:p>
            <w:pPr>
              <w:spacing w:after="40"/>
            </w:pPr>
            <w:r/>
            <w:r>
              <w:rPr>
                <w:sz w:val="17"/>
              </w:rPr>
              <w:t>[committee]</w:t>
            </w:r>
          </w:p>
        </w:tc>
      </w:tr>
    </w:tbl>
    <w:p>
      <w:pPr>
        <w:spacing w:after="80"/>
      </w:pPr>
    </w:p>
    <w:p>
      <w:pPr>
        <w:spacing w:before="280" w:after="80"/>
      </w:pPr>
      <w:r>
        <w:rPr>
          <w:b/>
          <w:color w:val="3F51B5"/>
          <w:sz w:val="28"/>
        </w:rPr>
        <w:t>Adaptation notes</w:t>
      </w:r>
    </w:p>
    <w:p>
      <w:pPr>
        <w:pStyle w:val="ListBullet"/>
        <w:spacing w:after="80"/>
      </w:pPr>
      <w:r>
        <w:rPr>
          <w:b/>
          <w:sz w:val="21"/>
        </w:rPr>
        <w:t xml:space="preserve">Regulated financial services: </w:t>
      </w:r>
      <w:r>
        <w:rPr>
          <w:sz w:val="21"/>
        </w:rPr>
        <w:t>Map this framework to your model risk management standard (SR 11-7 style expectations) and to operational resilience obligations. Make the second/third-line split explicit and align tiering with model materiality.</w:t>
      </w:r>
    </w:p>
    <w:p>
      <w:pPr>
        <w:pStyle w:val="ListBullet"/>
        <w:spacing w:after="80"/>
      </w:pPr>
      <w:r>
        <w:rPr>
          <w:b/>
          <w:sz w:val="21"/>
        </w:rPr>
        <w:t xml:space="preserve">Small organisations: </w:t>
      </w:r>
      <w:r>
        <w:rPr>
          <w:sz w:val="21"/>
        </w:rPr>
        <w:t>Collapse the committee and accountable-owner roles, but never remove the "named accountable human" principle — it is the one control that cannot be delegated to a process.</w:t>
      </w:r>
    </w:p>
    <w:p>
      <w:pPr>
        <w:pStyle w:val="ListBullet"/>
        <w:spacing w:after="80"/>
      </w:pPr>
      <w:r>
        <w:rPr>
          <w:b/>
          <w:sz w:val="21"/>
        </w:rPr>
        <w:t xml:space="preserve">Non-EU: </w:t>
      </w:r>
      <w:r>
        <w:rPr>
          <w:sz w:val="21"/>
        </w:rPr>
        <w:t>Keep the risk-tiering logic and swap the EU AI Act references for your local regime (NIST AI RMF, ISO/IEC 42001). The structure holds; only the obligation names change.</w:t>
      </w:r>
    </w:p>
    <w:p>
      <w:pPr>
        <w:pStyle w:val="ListBullet"/>
        <w:spacing w:after="80"/>
      </w:pPr>
      <w:r>
        <w:rPr>
          <w:b/>
          <w:sz w:val="21"/>
        </w:rPr>
        <w:t xml:space="preserve">Heavy GPAI / vendor use: </w:t>
      </w:r>
      <w:r>
        <w:rPr>
          <w:sz w:val="21"/>
        </w:rPr>
        <w:t>If you mostly buy rather than build, thin out section 5 and expand Third Party Ai Risk Policy — your controls are contractual and assurance-based rather than engineering ones.</w:t>
      </w:r>
    </w:p>
    <w:p/>
    <w:p>
      <w:pPr>
        <w:spacing w:before="200"/>
      </w:pPr>
      <w:r>
        <w:rPr>
          <w:i/>
          <w:color w:val="606060"/>
          <w:sz w:val="17"/>
        </w:rPr>
        <w:t>Not legal advice. This template is a head start, not a substitute for professional judgement. Adapt it to your jurisdiction, sector, and risk appetite, and have qualified counsel review anything material before you rely on it.</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